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7" w:rsidRPr="00B82C67" w:rsidRDefault="00B82C67" w:rsidP="00B8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</w:p>
    <w:p w:rsidR="00B82C67" w:rsidRPr="00B82C67" w:rsidRDefault="00B82C67" w:rsidP="00B8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67">
        <w:rPr>
          <w:rFonts w:ascii="Times New Roman" w:hAnsi="Times New Roman" w:cs="Times New Roman"/>
          <w:b/>
          <w:sz w:val="28"/>
          <w:szCs w:val="28"/>
        </w:rPr>
        <w:t xml:space="preserve">регуляторного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proofErr w:type="spellStart"/>
      <w:proofErr w:type="gramStart"/>
      <w:r w:rsidRPr="00B82C6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2C67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</w:t>
      </w:r>
      <w:r w:rsidRPr="00B82C67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ільськ</w:t>
      </w:r>
      <w:r w:rsidRPr="00B82C67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</w:p>
    <w:p w:rsidR="00B82C67" w:rsidRPr="00B82C67" w:rsidRDefault="00B82C67" w:rsidP="00B8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C67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="00AE6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</w:t>
      </w:r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</w:p>
    <w:p w:rsidR="00B82C67" w:rsidRDefault="00B82C67" w:rsidP="00B8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B82C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b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об’єднаної територіальної громади»</w:t>
      </w:r>
    </w:p>
    <w:p w:rsidR="00B82C67" w:rsidRPr="00B82C67" w:rsidRDefault="00B82C67" w:rsidP="00B8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67" w:rsidRPr="00B82C67" w:rsidRDefault="00B82C67" w:rsidP="00B8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6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, яку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пропонується</w:t>
      </w:r>
      <w:proofErr w:type="spellEnd"/>
      <w:r w:rsidRPr="00B8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b/>
          <w:sz w:val="28"/>
          <w:szCs w:val="28"/>
        </w:rPr>
        <w:t>розв’язати</w:t>
      </w:r>
      <w:proofErr w:type="spellEnd"/>
    </w:p>
    <w:p w:rsid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Pr="00AE67CA" w:rsidRDefault="00B82C67" w:rsidP="00AE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C6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r w:rsidRPr="00B82C6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B82C67"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B82C6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  <w:lang w:val="uk-UA"/>
        </w:rPr>
        <w:t>розміщення тимчасових споруд для провадження підприємницької діяльності на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AE67CA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 xml:space="preserve">», (далі – проект рішення) розроблений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proofErr w:type="spellStart"/>
      <w:r w:rsidR="00AE67CA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C67" w:rsidRPr="00AE67CA" w:rsidRDefault="00B82C67" w:rsidP="00AE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7CA">
        <w:rPr>
          <w:rFonts w:ascii="Times New Roman" w:hAnsi="Times New Roman" w:cs="Times New Roman"/>
          <w:sz w:val="28"/>
          <w:szCs w:val="28"/>
          <w:lang w:val="uk-UA"/>
        </w:rPr>
        <w:t>Ці правила розроблено та затверджено згідно вимог Законів України «Про місцеве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самоврядування», «Про благоустрій населених пунктів», Правил благоустрою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та утримання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</w:t>
      </w:r>
      <w:proofErr w:type="spellStart"/>
      <w:r w:rsidR="00AE67CA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, Порядку розміщення тимчасових споруд для провадження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 затвердженого Наказом Міністерства регіонального розвитку,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будівництва та житлово-комунального господарства України 21.10.2011 р. №244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зареєстрованого в міністерстві юстиції України 22 листопада 2011 р. №1330/20068 та є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обов’язковим до виконання усіма суб’єктами господарювання та здійснюють свою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на території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AE67CA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AE67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C67" w:rsidRPr="00B82C67" w:rsidRDefault="00B82C67" w:rsidP="00AE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благоустрою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AE67CA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самовільне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</w:p>
    <w:p w:rsid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умов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лотків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торговельної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AE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B82C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82C67">
        <w:rPr>
          <w:rFonts w:ascii="Times New Roman" w:hAnsi="Times New Roman" w:cs="Times New Roman"/>
          <w:sz w:val="28"/>
          <w:szCs w:val="28"/>
        </w:rPr>
        <w:t xml:space="preserve"> благоустрою, земель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торгівельної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ОТГ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виконавчо</w:t>
      </w:r>
      <w:r w:rsidR="00AE67CA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E6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AE67CA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B82C6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82C67" w:rsidRDefault="00B82C67" w:rsidP="00F2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F20488">
        <w:rPr>
          <w:rFonts w:ascii="Times New Roman" w:hAnsi="Times New Roman" w:cs="Times New Roman"/>
          <w:sz w:val="28"/>
          <w:szCs w:val="28"/>
          <w:lang w:val="uk-UA"/>
        </w:rPr>
        <w:t>орядку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r w:rsidR="00F20488">
        <w:rPr>
          <w:rFonts w:ascii="Times New Roman" w:hAnsi="Times New Roman" w:cs="Times New Roman"/>
          <w:sz w:val="28"/>
          <w:szCs w:val="28"/>
          <w:lang w:val="uk-UA"/>
        </w:rPr>
        <w:t>постійними депутатськими комісіями та</w:t>
      </w:r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виконавч</w:t>
      </w:r>
      <w:r w:rsidR="00F20488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r w:rsidR="00F20488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F20488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B82C6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ради, в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F20488" w:rsidRPr="00F20488" w:rsidRDefault="00F20488" w:rsidP="00F2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Default="00B82C67" w:rsidP="00F2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48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20488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F20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488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F20488">
        <w:rPr>
          <w:rFonts w:ascii="Times New Roman" w:hAnsi="Times New Roman" w:cs="Times New Roman"/>
          <w:b/>
          <w:sz w:val="28"/>
          <w:szCs w:val="28"/>
        </w:rPr>
        <w:t xml:space="preserve">, яку </w:t>
      </w:r>
      <w:proofErr w:type="spellStart"/>
      <w:r w:rsidRPr="00F20488">
        <w:rPr>
          <w:rFonts w:ascii="Times New Roman" w:hAnsi="Times New Roman" w:cs="Times New Roman"/>
          <w:b/>
          <w:sz w:val="28"/>
          <w:szCs w:val="28"/>
        </w:rPr>
        <w:t>передбачається</w:t>
      </w:r>
      <w:proofErr w:type="spellEnd"/>
      <w:r w:rsidRPr="00F20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488">
        <w:rPr>
          <w:rFonts w:ascii="Times New Roman" w:hAnsi="Times New Roman" w:cs="Times New Roman"/>
          <w:b/>
          <w:sz w:val="28"/>
          <w:szCs w:val="28"/>
        </w:rPr>
        <w:t>розв'язати</w:t>
      </w:r>
      <w:proofErr w:type="spellEnd"/>
    </w:p>
    <w:p w:rsidR="00F20488" w:rsidRPr="00F20488" w:rsidRDefault="00F20488" w:rsidP="00F2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Default="00B82C67" w:rsidP="00F2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часу. Особливо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гострою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проблемою</w:t>
      </w:r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lastRenderedPageBreak/>
        <w:t>надання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F20488" w:rsidRPr="00F20488" w:rsidRDefault="00F20488" w:rsidP="00F2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Pr="00F20488" w:rsidRDefault="00B82C67" w:rsidP="00F2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20488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F20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488">
        <w:rPr>
          <w:rFonts w:ascii="Times New Roman" w:hAnsi="Times New Roman" w:cs="Times New Roman"/>
          <w:b/>
          <w:sz w:val="28"/>
          <w:szCs w:val="28"/>
        </w:rPr>
        <w:t>цілей</w:t>
      </w:r>
      <w:proofErr w:type="spellEnd"/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селища з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безумовним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благоустрою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ідприємцями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;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;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норм та правил;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ідприємцями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;</w:t>
      </w:r>
    </w:p>
    <w:p w:rsidR="00B82C67" w:rsidRPr="00B82C67" w:rsidRDefault="00B82C67" w:rsidP="00F2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прозоре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F2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регуляторний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F2048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F2048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F20488" w:rsidRDefault="00F20488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275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27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оцінка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усіх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прийнятних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275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альтернативних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способів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="00E842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зазначених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цілей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2C67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аргументи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переваги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обраного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способу</w:t>
      </w:r>
    </w:p>
    <w:p w:rsidR="00E84275" w:rsidRPr="00E84275" w:rsidRDefault="00E84275" w:rsidP="00E8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Pr="00B82C67" w:rsidRDefault="00B82C67" w:rsidP="00E8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Перша альтернатива –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нинішнього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стану: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норм і правил </w:t>
      </w:r>
      <w:proofErr w:type="gramStart"/>
      <w:r w:rsidRPr="00B82C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E84275" w:rsidRDefault="00E84275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Pr="00E84275" w:rsidRDefault="00B82C67" w:rsidP="00E8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275">
        <w:rPr>
          <w:rFonts w:ascii="Times New Roman" w:hAnsi="Times New Roman" w:cs="Times New Roman"/>
          <w:sz w:val="28"/>
          <w:szCs w:val="28"/>
          <w:lang w:val="uk-UA"/>
        </w:rPr>
        <w:t>Друга альтернатива – затвердження рішення «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>орядок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тимчасових споруд для провадження підприємницько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 на території 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E8427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потребам у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E84275" w:rsidRDefault="00E84275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Pr="00E84275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7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механізму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пропонується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застосувати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B82C67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розв'язання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відповідні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заходи</w:t>
      </w:r>
    </w:p>
    <w:p w:rsidR="00E84275" w:rsidRPr="00E84275" w:rsidRDefault="00E84275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Pr="00B82C67" w:rsidRDefault="00B82C67" w:rsidP="00E8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заходи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proofErr w:type="gramStart"/>
      <w:r w:rsidRPr="00B82C6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ТС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;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на землях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режимом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;</w:t>
      </w:r>
    </w:p>
    <w:p w:rsidR="00B82C67" w:rsidRDefault="00B82C67" w:rsidP="00E8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E84275" w:rsidRPr="00E84275" w:rsidRDefault="00E84275" w:rsidP="00E8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275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можливості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C67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визначених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цілей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427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4275">
        <w:rPr>
          <w:rFonts w:ascii="Times New Roman" w:hAnsi="Times New Roman" w:cs="Times New Roman"/>
          <w:b/>
          <w:sz w:val="28"/>
          <w:szCs w:val="28"/>
        </w:rPr>
        <w:t>раз</w:t>
      </w:r>
      <w:proofErr w:type="gramEnd"/>
      <w:r w:rsidRPr="00E8427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E842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</w:p>
    <w:p w:rsidR="00E84275" w:rsidRPr="00E84275" w:rsidRDefault="00E84275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Pr="00E84275" w:rsidRDefault="00B82C67" w:rsidP="00E84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275">
        <w:rPr>
          <w:rFonts w:ascii="Times New Roman" w:hAnsi="Times New Roman" w:cs="Times New Roman"/>
          <w:sz w:val="28"/>
          <w:szCs w:val="28"/>
          <w:lang w:val="uk-UA"/>
        </w:rPr>
        <w:t>Можливість досягнення мети і цілей у разі прийняття рішення є цілком реальною,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не потребує додаткових витрат та забезпечення у разі добросовісного виконання його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вимог підприємцями. Рівень впровадження та виконання вимог акта оцінюються як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достатній та відповідає тим ресурсам, якими розпоряджаються виконавчі органи с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8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275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E84275" w:rsidRDefault="00E84275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Default="00B82C67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27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очікуваних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275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E84275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E84275" w:rsidRPr="00E84275" w:rsidRDefault="00E84275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4182"/>
        <w:gridCol w:w="3134"/>
      </w:tblGrid>
      <w:tr w:rsidR="00E84275" w:rsidTr="00E84275">
        <w:tc>
          <w:tcPr>
            <w:tcW w:w="2093" w:type="dxa"/>
          </w:tcPr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</w:p>
        </w:tc>
        <w:tc>
          <w:tcPr>
            <w:tcW w:w="4287" w:type="dxa"/>
          </w:tcPr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91" w:type="dxa"/>
          </w:tcPr>
          <w:p w:rsidR="00E84275" w:rsidRPr="00B82C67" w:rsidRDefault="00E84275" w:rsidP="00E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4275" w:rsidTr="00E84275">
        <w:tc>
          <w:tcPr>
            <w:tcW w:w="2093" w:type="dxa"/>
          </w:tcPr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Місцева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влада</w:t>
            </w:r>
            <w:proofErr w:type="spellEnd"/>
          </w:p>
        </w:tc>
        <w:tc>
          <w:tcPr>
            <w:tcW w:w="4287" w:type="dxa"/>
          </w:tcPr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прозорості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ТС для</w:t>
            </w:r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дохід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селищного</w:t>
            </w:r>
            <w:proofErr w:type="spellEnd"/>
          </w:p>
          <w:p w:rsidR="00E84275" w:rsidRPr="00E84275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</w:p>
        </w:tc>
        <w:tc>
          <w:tcPr>
            <w:tcW w:w="3191" w:type="dxa"/>
          </w:tcPr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впровадженням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:rsidR="00E84275" w:rsidRDefault="00E84275" w:rsidP="00E84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контролем за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регуляторного</w:t>
            </w:r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акту</w:t>
            </w:r>
          </w:p>
        </w:tc>
      </w:tr>
      <w:tr w:rsidR="00E84275" w:rsidTr="00E84275">
        <w:tc>
          <w:tcPr>
            <w:tcW w:w="2093" w:type="dxa"/>
          </w:tcPr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87" w:type="dxa"/>
          </w:tcPr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спрощення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паспорті</w:t>
            </w:r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прив’язок</w:t>
            </w:r>
            <w:proofErr w:type="spellEnd"/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тимчасові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споруди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суб’єкті</w:t>
            </w:r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тимчасових</w:t>
            </w:r>
            <w:proofErr w:type="spellEnd"/>
          </w:p>
          <w:p w:rsidR="00E84275" w:rsidRPr="00B82C67" w:rsidRDefault="00E84275" w:rsidP="00E8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</w:p>
          <w:p w:rsidR="00E84275" w:rsidRPr="003B001B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3191" w:type="dxa"/>
          </w:tcPr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</w:p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впровадженням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</w:p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4275" w:rsidTr="00E84275">
        <w:tc>
          <w:tcPr>
            <w:tcW w:w="2093" w:type="dxa"/>
          </w:tcPr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Територіальна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громада</w:t>
            </w:r>
          </w:p>
          <w:p w:rsidR="00E84275" w:rsidRPr="003B001B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87" w:type="dxa"/>
          </w:tcPr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</w:p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мешканців</w:t>
            </w:r>
            <w:proofErr w:type="spellEnd"/>
          </w:p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селища.</w:t>
            </w:r>
          </w:p>
          <w:p w:rsidR="003B001B" w:rsidRPr="00B82C67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82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75" w:rsidRPr="003B001B" w:rsidRDefault="003B001B" w:rsidP="003B0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</w:t>
            </w:r>
          </w:p>
        </w:tc>
        <w:tc>
          <w:tcPr>
            <w:tcW w:w="3191" w:type="dxa"/>
          </w:tcPr>
          <w:p w:rsidR="00E84275" w:rsidRDefault="00E84275" w:rsidP="00E8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4275" w:rsidRPr="00E84275" w:rsidRDefault="00E84275" w:rsidP="00E8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Default="00B82C67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01B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запропонованого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строку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</w:p>
    <w:p w:rsidR="003B001B" w:rsidRPr="003B001B" w:rsidRDefault="003B001B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Pr="00B82C67" w:rsidRDefault="00B82C67" w:rsidP="003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C67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Регуляторний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B0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переглянуто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C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3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регуляторного акта з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3B001B" w:rsidRDefault="003B001B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Default="00B82C67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01B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показників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3B001B" w:rsidRPr="003B001B" w:rsidRDefault="003B001B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C6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lastRenderedPageBreak/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</w:p>
    <w:p w:rsidR="00B82C67" w:rsidRPr="00B82C67" w:rsidRDefault="00B82C67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proofErr w:type="gram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>.</w:t>
      </w:r>
    </w:p>
    <w:p w:rsidR="003B001B" w:rsidRDefault="003B001B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C67" w:rsidRPr="003B001B" w:rsidRDefault="00B82C67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1B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3B001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буде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здійснюватися</w:t>
      </w:r>
      <w:proofErr w:type="spellEnd"/>
    </w:p>
    <w:p w:rsidR="00B82C67" w:rsidRDefault="00B82C67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01B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3B00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3B001B" w:rsidRPr="003B001B" w:rsidRDefault="003B001B" w:rsidP="003B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C67" w:rsidRPr="00B82C67" w:rsidRDefault="00B82C67" w:rsidP="003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6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здійснюватиме</w:t>
      </w:r>
      <w:proofErr w:type="spellEnd"/>
      <w:r w:rsidR="003B0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r w:rsidR="003B001B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3B001B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B82C6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82C67" w:rsidRPr="00B82C67" w:rsidRDefault="00B82C67" w:rsidP="003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Базове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регуляторного акта буде проведено до</w:t>
      </w:r>
      <w:r w:rsidR="003B0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проекту регуляторного акта.</w:t>
      </w:r>
    </w:p>
    <w:p w:rsidR="00B82C67" w:rsidRPr="00B82C67" w:rsidRDefault="00B82C67" w:rsidP="003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акта буде проведено через </w:t>
      </w:r>
      <w:proofErr w:type="spellStart"/>
      <w:proofErr w:type="gramStart"/>
      <w:r w:rsidRPr="00B82C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C6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з дня</w:t>
      </w:r>
      <w:r w:rsidR="003B0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регуляторного акта, але не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через два роки.</w:t>
      </w:r>
    </w:p>
    <w:p w:rsidR="00B82C67" w:rsidRPr="00B82C67" w:rsidRDefault="00B82C67" w:rsidP="003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="003B0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67">
        <w:rPr>
          <w:rFonts w:ascii="Times New Roman" w:hAnsi="Times New Roman" w:cs="Times New Roman"/>
          <w:sz w:val="28"/>
          <w:szCs w:val="28"/>
        </w:rPr>
        <w:t xml:space="preserve">раз на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три роки,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з повторного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="003B0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6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82C67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3B001B" w:rsidRDefault="003B001B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1B" w:rsidRDefault="003B001B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01B" w:rsidRDefault="003B001B" w:rsidP="00B8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sectPr w:rsidR="003B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67"/>
    <w:rsid w:val="003B001B"/>
    <w:rsid w:val="007F53D8"/>
    <w:rsid w:val="00827F70"/>
    <w:rsid w:val="00AE67CA"/>
    <w:rsid w:val="00B82C67"/>
    <w:rsid w:val="00E84275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2018-07-20T08:59:00Z</dcterms:created>
  <dcterms:modified xsi:type="dcterms:W3CDTF">2018-07-20T11:29:00Z</dcterms:modified>
</cp:coreProperties>
</file>