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A" w:rsidRDefault="006D28FA" w:rsidP="006D28FA">
      <w:pPr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FA" w:rsidRDefault="006D28FA" w:rsidP="006D28FA">
      <w:pPr>
        <w:tabs>
          <w:tab w:val="center" w:pos="5103"/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УКРАЇНА</w:t>
      </w:r>
      <w:r>
        <w:rPr>
          <w:b/>
          <w:sz w:val="28"/>
          <w:szCs w:val="28"/>
        </w:rPr>
        <w:tab/>
      </w:r>
    </w:p>
    <w:p w:rsidR="006D28FA" w:rsidRDefault="006D28FA" w:rsidP="006D28FA">
      <w:pPr>
        <w:jc w:val="center"/>
        <w:rPr>
          <w:b/>
          <w:sz w:val="28"/>
          <w:szCs w:val="28"/>
        </w:rPr>
      </w:pPr>
    </w:p>
    <w:p w:rsidR="006D28FA" w:rsidRDefault="006D28FA" w:rsidP="006D28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6D28FA" w:rsidRDefault="006D28FA" w:rsidP="006D28FA">
      <w:pPr>
        <w:jc w:val="center"/>
        <w:rPr>
          <w:b/>
          <w:sz w:val="28"/>
          <w:szCs w:val="28"/>
        </w:rPr>
      </w:pPr>
    </w:p>
    <w:p w:rsidR="006D28FA" w:rsidRDefault="006D28FA" w:rsidP="006D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четверта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6D28FA" w:rsidRDefault="006D28FA" w:rsidP="006D28FA">
      <w:pPr>
        <w:jc w:val="center"/>
        <w:rPr>
          <w:b/>
          <w:sz w:val="28"/>
          <w:szCs w:val="28"/>
        </w:rPr>
      </w:pPr>
    </w:p>
    <w:p w:rsidR="006D28FA" w:rsidRDefault="006D28FA" w:rsidP="006D28FA">
      <w:pPr>
        <w:jc w:val="center"/>
        <w:rPr>
          <w:b/>
          <w:sz w:val="28"/>
          <w:szCs w:val="28"/>
        </w:rPr>
      </w:pPr>
    </w:p>
    <w:p w:rsidR="006D28FA" w:rsidRDefault="006D28FA" w:rsidP="006D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6D28FA" w:rsidRDefault="006D28FA" w:rsidP="006D28FA">
      <w:pPr>
        <w:tabs>
          <w:tab w:val="left" w:pos="8715"/>
        </w:tabs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6D28FA" w:rsidRPr="006D28FA" w:rsidRDefault="006D28FA" w:rsidP="006D28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22.12.</w:t>
      </w:r>
      <w:r>
        <w:rPr>
          <w:b/>
          <w:sz w:val="28"/>
          <w:szCs w:val="28"/>
        </w:rPr>
        <w:t>2018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24-_/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</w:p>
    <w:p w:rsidR="006D28FA" w:rsidRDefault="006D28FA" w:rsidP="006D28F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затвердження Програми</w:t>
      </w:r>
    </w:p>
    <w:p w:rsidR="006D28FA" w:rsidRDefault="006D28FA" w:rsidP="006D28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«Обдаровані діти» на 2019 рік</w:t>
      </w: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pStyle w:val="a3"/>
        <w:jc w:val="both"/>
      </w:pPr>
      <w:r>
        <w:t xml:space="preserve">      На підставі пункту 22 частини 1 статті 26 Закону України «Про місцеве самоврядування в Україні», сесія сільської ради                             </w:t>
      </w:r>
    </w:p>
    <w:p w:rsidR="006D28FA" w:rsidRDefault="006D28FA" w:rsidP="006D28FA">
      <w:pPr>
        <w:pStyle w:val="a3"/>
        <w:jc w:val="both"/>
      </w:pPr>
    </w:p>
    <w:p w:rsidR="006D28FA" w:rsidRDefault="006D28FA" w:rsidP="006D28FA">
      <w:pPr>
        <w:pStyle w:val="a3"/>
        <w:jc w:val="center"/>
      </w:pPr>
      <w:r>
        <w:rPr>
          <w:b/>
        </w:rPr>
        <w:t>В И Р І Ш И Л А</w:t>
      </w:r>
      <w:r>
        <w:t>:</w:t>
      </w:r>
    </w:p>
    <w:p w:rsidR="006D28FA" w:rsidRDefault="006D28FA" w:rsidP="006D28FA">
      <w:pPr>
        <w:pStyle w:val="a3"/>
        <w:jc w:val="both"/>
      </w:pPr>
    </w:p>
    <w:p w:rsidR="006D28FA" w:rsidRDefault="006D28FA" w:rsidP="006D28FA">
      <w:pPr>
        <w:pStyle w:val="a3"/>
        <w:ind w:firstLine="708"/>
        <w:jc w:val="both"/>
        <w:rPr>
          <w:szCs w:val="28"/>
        </w:rPr>
      </w:pPr>
      <w:r>
        <w:t xml:space="preserve">1. Затвердити Програму </w:t>
      </w:r>
      <w:r>
        <w:rPr>
          <w:lang w:val="ru-RU"/>
        </w:rPr>
        <w:t>«</w:t>
      </w:r>
      <w:r>
        <w:t>Обдаровані діти</w:t>
      </w:r>
      <w:r>
        <w:rPr>
          <w:lang w:val="ru-RU"/>
        </w:rPr>
        <w:t>»</w:t>
      </w:r>
      <w:r>
        <w:t xml:space="preserve"> на </w:t>
      </w:r>
      <w:r>
        <w:rPr>
          <w:szCs w:val="28"/>
        </w:rPr>
        <w:t>2019 рік</w:t>
      </w:r>
      <w:r>
        <w:t xml:space="preserve"> ( далі – Програма)</w:t>
      </w:r>
      <w:r>
        <w:rPr>
          <w:szCs w:val="28"/>
        </w:rPr>
        <w:t xml:space="preserve">, та заходи (додаток 1, 2). </w:t>
      </w:r>
    </w:p>
    <w:p w:rsidR="006D28FA" w:rsidRDefault="006D28FA" w:rsidP="006D28FA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ради на 2019 рік </w:t>
      </w:r>
      <w:r>
        <w:rPr>
          <w:sz w:val="28"/>
          <w:szCs w:val="28"/>
          <w:lang w:val="uk-UA" w:eastAsia="uk-UA"/>
        </w:rPr>
        <w:t>та інших джерел фінансування, не заборонених законодавством</w:t>
      </w:r>
      <w:r>
        <w:rPr>
          <w:sz w:val="28"/>
          <w:szCs w:val="28"/>
          <w:lang w:val="uk-UA"/>
        </w:rPr>
        <w:t>.</w:t>
      </w:r>
      <w:r>
        <w:rPr>
          <w:lang w:val="uk-UA" w:eastAsia="uk-UA"/>
        </w:rPr>
        <w:t xml:space="preserve"> </w:t>
      </w:r>
    </w:p>
    <w:p w:rsidR="006D28FA" w:rsidRDefault="006D28FA" w:rsidP="006D28FA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6D28FA" w:rsidRDefault="006D28FA" w:rsidP="006D28FA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Сільський голова                                                                                  І.М. </w:t>
      </w:r>
      <w:proofErr w:type="spellStart"/>
      <w:r>
        <w:rPr>
          <w:sz w:val="28"/>
          <w:lang w:val="uk-UA"/>
        </w:rPr>
        <w:t>Чекаленко</w:t>
      </w:r>
      <w:proofErr w:type="spellEnd"/>
    </w:p>
    <w:p w:rsidR="006D28FA" w:rsidRDefault="006D28FA" w:rsidP="006D28FA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</w:t>
      </w: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</w:t>
      </w:r>
      <w:r>
        <w:rPr>
          <w:lang w:val="uk-UA" w:eastAsia="uk-UA"/>
        </w:rPr>
        <w:t xml:space="preserve">                    </w:t>
      </w:r>
      <w:r>
        <w:rPr>
          <w:lang w:val="uk-UA" w:eastAsia="uk-UA"/>
        </w:rPr>
        <w:t>Додаток 1</w:t>
      </w:r>
    </w:p>
    <w:p w:rsidR="006D28FA" w:rsidRDefault="006D28FA" w:rsidP="006D28FA">
      <w:pPr>
        <w:autoSpaceDE w:val="0"/>
        <w:autoSpaceDN w:val="0"/>
        <w:adjustRightInd w:val="0"/>
        <w:ind w:left="6372" w:firstLine="708"/>
        <w:rPr>
          <w:lang w:val="uk-UA" w:eastAsia="uk-UA"/>
        </w:rPr>
      </w:pPr>
      <w:r>
        <w:rPr>
          <w:lang w:val="uk-UA" w:eastAsia="uk-UA"/>
        </w:rPr>
        <w:t xml:space="preserve">     </w:t>
      </w:r>
      <w:r>
        <w:rPr>
          <w:lang w:val="uk-UA" w:eastAsia="uk-UA"/>
        </w:rPr>
        <w:t xml:space="preserve">до рішення сільської ради </w:t>
      </w:r>
    </w:p>
    <w:p w:rsidR="006D28FA" w:rsidRDefault="006D28FA" w:rsidP="006D28FA">
      <w:pPr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</w:t>
      </w:r>
      <w:r>
        <w:rPr>
          <w:lang w:val="uk-UA" w:eastAsia="uk-UA"/>
        </w:rPr>
        <w:t>№ /</w:t>
      </w:r>
      <w:r>
        <w:rPr>
          <w:lang w:val="en-US" w:eastAsia="uk-UA"/>
        </w:rPr>
        <w:t>V</w:t>
      </w:r>
      <w:r>
        <w:rPr>
          <w:lang w:val="uk-UA" w:eastAsia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 w:eastAsia="uk-UA"/>
        </w:rPr>
        <w:t xml:space="preserve"> від 22.12.</w:t>
      </w:r>
      <w:r>
        <w:rPr>
          <w:lang w:val="uk-UA" w:eastAsia="uk-UA"/>
        </w:rPr>
        <w:t>2018 р.</w:t>
      </w:r>
    </w:p>
    <w:p w:rsidR="006D28FA" w:rsidRDefault="006D28FA" w:rsidP="006D28FA">
      <w:pPr>
        <w:jc w:val="right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6D28FA" w:rsidRDefault="006D28FA" w:rsidP="006D28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«ОБДАРОВАНІ ДІТИ» на 2019 рік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 ПОЛОЖЕННЯ</w:t>
      </w: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Програма є основним документом, що визначає стратегію пошуку, навчання, </w:t>
      </w:r>
      <w:r>
        <w:rPr>
          <w:sz w:val="28"/>
          <w:szCs w:val="28"/>
          <w:lang w:val="uk-UA"/>
        </w:rPr>
        <w:tab/>
        <w:t>виховання  й  розвитку обдарованих дітей.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Програма складена відповідно Державної цільової програми роботи з обдарованою  молоддю на 2016-2020 роки, Національної програми «Діти України», Указу Президента України  № 927/2010 «Про заходи щодо розвитку системи  виявлення та підтримки обдарованих  і  талановитих  дітей  та  молоді.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 ТА  ОСНОВНІ  ЗАВДАННЯ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Головна мета Програми – підтримка  обдарованих  і  талановитих дітей та молоді, </w:t>
      </w:r>
      <w:r>
        <w:rPr>
          <w:sz w:val="28"/>
          <w:szCs w:val="28"/>
          <w:lang w:val="uk-UA"/>
        </w:rPr>
        <w:tab/>
        <w:t xml:space="preserve">створення сприятливих умов для розвитку їх творчого потенціалу, самореалізації творчої </w:t>
      </w:r>
      <w:r>
        <w:rPr>
          <w:sz w:val="28"/>
          <w:szCs w:val="28"/>
          <w:lang w:val="uk-UA"/>
        </w:rPr>
        <w:tab/>
        <w:t>особистості  в  сучасному  суспільстві.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ЗАВДАННЯ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Програмою передбачено  виконання  таких  завдань: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удосконалення  системи пошуку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впровадження в навчально-виховний процес сучасних науково-методичних концепцій, форм  і  видів  діяльності;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органічне поєднання  навчання, виховання  та  розвитку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стимулювання творчої діяльності шляхом співпраці  з вищими навчальними закладами, Малою Академією Наук.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ОЧІКУВАНІ  РЕЗУЛЬТАТИ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Виконання програми  </w:t>
      </w:r>
      <w:r>
        <w:rPr>
          <w:sz w:val="28"/>
          <w:szCs w:val="28"/>
          <w:lang w:val="uk-UA"/>
        </w:rPr>
        <w:t>на</w:t>
      </w:r>
      <w:bookmarkStart w:id="0" w:name="_GoBack"/>
      <w:bookmarkEnd w:id="0"/>
      <w:r>
        <w:rPr>
          <w:sz w:val="28"/>
          <w:szCs w:val="28"/>
          <w:lang w:val="uk-UA"/>
        </w:rPr>
        <w:t>дасть  можливість: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систему моніторингу результатів роботи  з  обдарованими дітьми;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стимулювати  роботу  педагогічних  колективів  з  обдарованими  дітьми;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створити умови  для  інтелектуального, духовного, морально-естетичного, фізичного розвитку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підвищити результати роботи  з обдарованими  дітьми.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 ВІДСЛІДКОВУВАННЯ РЕЗУЛЬТАТІВ РЕАЛІЗАЦІЇ ПРОГРАМИ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  через: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аналіз умов для розвитку  обдарованості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аналіз результатів участі учнів у різноманітних конкурсах, турнірах, олімпіадах, змаганнях;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визначення  динаміки  розвитку  обдарованих  дітей;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розробка  нових  технологій  роботи  з  обдарованими  дітьми.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ФІНАНСУВАННЯ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в межах асигнувань, передбачених  у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місцевому  бюджеті  та  з  інших  джерел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не  заборонених  законодавством.</w:t>
      </w:r>
    </w:p>
    <w:p w:rsidR="006D28FA" w:rsidRDefault="006D28FA" w:rsidP="006D28FA">
      <w:pPr>
        <w:jc w:val="both"/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  <w:sectPr w:rsidR="006D28FA">
          <w:pgSz w:w="11907" w:h="16443"/>
          <w:pgMar w:top="567" w:right="567" w:bottom="567" w:left="1134" w:header="709" w:footer="709" w:gutter="0"/>
          <w:cols w:space="720"/>
        </w:sectPr>
      </w:pPr>
    </w:p>
    <w:p w:rsidR="006D28FA" w:rsidRDefault="006D28FA" w:rsidP="006D28FA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Додаток 2</w:t>
      </w:r>
    </w:p>
    <w:p w:rsidR="006D28FA" w:rsidRDefault="006D28FA" w:rsidP="006D28FA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до рішення сесії сільської ради </w:t>
      </w:r>
    </w:p>
    <w:p w:rsidR="006D28FA" w:rsidRDefault="006D28FA" w:rsidP="006D28FA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№24-00/</w:t>
      </w:r>
      <w:r>
        <w:rPr>
          <w:lang w:val="en-US" w:eastAsia="uk-UA"/>
        </w:rPr>
        <w:t>V</w:t>
      </w:r>
      <w:r>
        <w:rPr>
          <w:lang w:val="uk-UA" w:eastAsia="uk-UA"/>
        </w:rPr>
        <w:t>ІІ  від 22.12.2018 р.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Програми «Обдаровані діти» на 2019 р.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6D28FA" w:rsidTr="006D28F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проведення семінарів з питань роботи з обдарованими дітьми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6D28FA" w:rsidTr="006D28FA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6D28FA" w:rsidRP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 до 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 виявлення обдарованих дітей в освітніх навчальних закладах.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 навчальних закладів</w:t>
            </w:r>
          </w:p>
        </w:tc>
      </w:tr>
      <w:tr w:rsidR="006D28FA" w:rsidRP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щорічних олімпіад, конкурсів-захистів, </w:t>
            </w:r>
            <w:proofErr w:type="spellStart"/>
            <w:r>
              <w:rPr>
                <w:lang w:val="uk-UA"/>
              </w:rPr>
              <w:t>спартакіад</w:t>
            </w:r>
            <w:proofErr w:type="spellEnd"/>
            <w:r>
              <w:rPr>
                <w:lang w:val="uk-UA"/>
              </w:rPr>
              <w:t>, змагань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</w:t>
            </w:r>
          </w:p>
        </w:tc>
      </w:tr>
      <w:tr w:rsidR="006D28FA" w:rsidRP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обласних, Всеукраїнських  олімпіад, конкурсів,  МАН та виплати одноразової грошової винагороди педагогічним працівникам, які здійснювали підготовку дітей.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  <w:tr w:rsidR="006D28FA" w:rsidTr="006D2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Перевезення  дітей на  конкурси, турніри, олімпіади, змагання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6D28FA" w:rsidRDefault="006D28FA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</w:tbl>
    <w:p w:rsidR="006D28FA" w:rsidRDefault="006D28FA" w:rsidP="006D28F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D28FA" w:rsidRDefault="006D28FA" w:rsidP="006D28FA">
      <w:pPr>
        <w:rPr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Секретар сільської ради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rPr>
          <w:sz w:val="28"/>
          <w:lang w:val="uk-UA"/>
        </w:rPr>
        <w:sectPr w:rsidR="006D28FA">
          <w:pgSz w:w="16443" w:h="11907" w:orient="landscape"/>
          <w:pgMar w:top="1134" w:right="567" w:bottom="567" w:left="567" w:header="709" w:footer="709" w:gutter="0"/>
          <w:cols w:space="720"/>
        </w:sectPr>
      </w:pPr>
    </w:p>
    <w:p w:rsidR="006D28FA" w:rsidRDefault="006D28FA" w:rsidP="006D28FA">
      <w:pPr>
        <w:rPr>
          <w:sz w:val="28"/>
          <w:lang w:val="uk-UA"/>
        </w:rPr>
      </w:pPr>
    </w:p>
    <w:p w:rsidR="006D28FA" w:rsidRDefault="006D28FA" w:rsidP="006D28F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Додаток 3</w:t>
      </w:r>
    </w:p>
    <w:p w:rsidR="006D28FA" w:rsidRDefault="006D28FA" w:rsidP="006D28F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сесії сільської ради</w:t>
      </w:r>
    </w:p>
    <w:p w:rsidR="006D28FA" w:rsidRDefault="006D28FA" w:rsidP="006D28FA">
      <w:pPr>
        <w:ind w:left="5664"/>
        <w:jc w:val="center"/>
        <w:rPr>
          <w:lang w:val="uk-UA"/>
        </w:rPr>
      </w:pPr>
      <w:r>
        <w:rPr>
          <w:lang w:val="uk-UA"/>
        </w:rPr>
        <w:t xml:space="preserve">        №24-00/</w:t>
      </w:r>
      <w:r w:rsidRPr="006D28FA">
        <w:rPr>
          <w:lang w:val="uk-UA" w:eastAsia="uk-UA"/>
        </w:rPr>
        <w:t xml:space="preserve"> </w:t>
      </w:r>
      <w:r>
        <w:rPr>
          <w:lang w:val="en-US" w:eastAsia="uk-UA"/>
        </w:rPr>
        <w:t>V</w:t>
      </w:r>
      <w:r>
        <w:rPr>
          <w:lang w:val="uk-UA" w:eastAsia="uk-UA"/>
        </w:rPr>
        <w:t>ІІ</w:t>
      </w:r>
      <w:r>
        <w:rPr>
          <w:lang w:val="uk-UA"/>
        </w:rPr>
        <w:t xml:space="preserve"> від 22.12.2018 р. </w:t>
      </w:r>
    </w:p>
    <w:p w:rsidR="006D28FA" w:rsidRDefault="006D28FA" w:rsidP="006D28FA">
      <w:pPr>
        <w:ind w:left="5664"/>
        <w:jc w:val="center"/>
        <w:rPr>
          <w:lang w:val="uk-UA"/>
        </w:rPr>
      </w:pPr>
    </w:p>
    <w:p w:rsidR="006D28FA" w:rsidRDefault="006D28FA" w:rsidP="006D28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6D28FA" w:rsidRDefault="006D28FA" w:rsidP="006D28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призначення та виплати одноразових премій і стипендій обдарованим дітям та одноразової грошової винагороди педагогічним працівникам</w:t>
      </w:r>
    </w:p>
    <w:p w:rsidR="006D28FA" w:rsidRDefault="006D28FA" w:rsidP="006D28FA">
      <w:pPr>
        <w:jc w:val="center"/>
        <w:rPr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  <w:lang w:val="uk-UA"/>
        </w:rPr>
        <w:t>.Загальні</w:t>
      </w:r>
      <w:proofErr w:type="spellEnd"/>
      <w:r>
        <w:rPr>
          <w:b/>
          <w:sz w:val="28"/>
          <w:szCs w:val="28"/>
          <w:lang w:val="uk-UA"/>
        </w:rPr>
        <w:t xml:space="preserve"> положення</w:t>
      </w:r>
    </w:p>
    <w:p w:rsidR="006D28FA" w:rsidRDefault="006D28FA" w:rsidP="006D28FA">
      <w:pPr>
        <w:tabs>
          <w:tab w:val="left" w:pos="36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призначення та виплату стипендій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обдарованим дітям (далі - Положення) регламентує порядок призначення та виплати стипендій переможцям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етапів Всеукраїнських учнівських олімпіад з навчальних предметів 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етапу Всеукраїнського конкурсу-захисту науково-дослідницьких робіт учнів-членів Малої академії наук України, переможцям обласної спартакіади школярів з фізичної культури, туризму  та за високі досягнення у навчанні (золота медаль, срібна медаль), а також переможцям Міжнародних, Всеукраїнських, обласних творчих конкурсів, турнірів, чемпіонатів тощо.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та одноразова премія для обдарованих дітей – це фінансова підтримка, що надається з метою заохочення дітей та молоді шкільного віку до участі у науковій, культурній,  творчій, спортивній, громадській діяльності та реалізації проектів, забезпечення економічних і соціальних гарантій самореалізації особистості.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Одноразова грошова винагорода педагогічним працівникам є мотивуючим засобом для педагогів,  які здійснювали підготовку дітей  і матеріальним заохоченням до подальшої роботи з обдарованими дітьми.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стипендій та одноразових премій дітям  спрямоване на реалізацію права кожної дитини брати участь у науковому, спортивному, 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стипендій здійснюється впродовж навчального року з 1 вересня до 31 травня.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Виплата одноразових премій дітям та одноразової грошової винагороди педагогічним працівникам здійснюється за підсумками результатів олімпіад, конкурсів, </w:t>
      </w:r>
      <w:proofErr w:type="spellStart"/>
      <w:r>
        <w:rPr>
          <w:sz w:val="28"/>
          <w:szCs w:val="28"/>
          <w:lang w:val="uk-UA"/>
        </w:rPr>
        <w:t>спартакіад</w:t>
      </w:r>
      <w:proofErr w:type="spellEnd"/>
      <w:r>
        <w:rPr>
          <w:sz w:val="28"/>
          <w:szCs w:val="28"/>
          <w:lang w:val="uk-UA"/>
        </w:rPr>
        <w:t>, чемпіонатів тощо.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Виплата стипендій, одноразових премій та одноразових грошових винагород починається після подання клопотання  адміністрацією загальноосвітніх  </w:t>
      </w:r>
      <w:r>
        <w:rPr>
          <w:sz w:val="28"/>
          <w:szCs w:val="28"/>
          <w:lang w:val="uk-UA"/>
        </w:rPr>
        <w:lastRenderedPageBreak/>
        <w:t xml:space="preserve">навчальних закладів  та видачі розпорядження головою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учням здійснюється відділом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 стипендіат має право на призначення кількох стипендій, виплачується одна більшого розміру.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</w:rPr>
      </w:pP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. Порядок призначення одноразових премій 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стипендій  обдарованим дітям</w:t>
      </w:r>
    </w:p>
    <w:p w:rsidR="006D28FA" w:rsidRDefault="006D28FA" w:rsidP="006D28FA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освіти, охорони здоров’я, культури, туризму, молоді, спорту та питань захисту дітей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надає списки претендентів на виплату одноразових премій, стипендій та одноразових грошових винагород  на підставі клопотань адміністрації навчальних закладів та формує списки дітей та педагогічних працівників.</w:t>
      </w: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Інтелектуальний напрямок</w:t>
      </w:r>
    </w:p>
    <w:p w:rsidR="006D28FA" w:rsidRDefault="006D28FA" w:rsidP="006D28FA">
      <w:pPr>
        <w:tabs>
          <w:tab w:val="left" w:pos="342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місце – 500 грн.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місце – 400 грн.</w:t>
      </w:r>
    </w:p>
    <w:p w:rsidR="006D28FA" w:rsidRDefault="006D28FA" w:rsidP="006D28FA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місце – 300 грн.</w:t>
      </w:r>
    </w:p>
    <w:p w:rsidR="006D28FA" w:rsidRDefault="006D28FA" w:rsidP="006D28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навчальних предметів отримують одноразові  премії в розмірі:</w:t>
      </w:r>
    </w:p>
    <w:p w:rsidR="006D28FA" w:rsidRDefault="006D28FA" w:rsidP="006D28FA">
      <w:pPr>
        <w:pStyle w:val="ListParagraph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місце –1000 грн.</w:t>
      </w:r>
    </w:p>
    <w:p w:rsidR="006D28FA" w:rsidRDefault="006D28FA" w:rsidP="006D28FA">
      <w:pPr>
        <w:pStyle w:val="ListParagraph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місце – 800 грн.</w:t>
      </w:r>
    </w:p>
    <w:p w:rsidR="006D28FA" w:rsidRDefault="006D28FA" w:rsidP="006D28FA">
      <w:pPr>
        <w:pStyle w:val="ListParagraph"/>
        <w:spacing w:after="0" w:line="276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місце – 600 грн.</w:t>
      </w:r>
    </w:p>
    <w:p w:rsidR="006D28FA" w:rsidRDefault="006D28FA" w:rsidP="006D28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300 грн.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200 грн.</w:t>
      </w:r>
    </w:p>
    <w:p w:rsidR="006D28FA" w:rsidRDefault="006D28FA" w:rsidP="006D28F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 місце –150 грн.</w:t>
      </w:r>
    </w:p>
    <w:p w:rsidR="006D28FA" w:rsidRDefault="006D28FA" w:rsidP="006D28F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II етапу  Всеукраїнського конкурсу-захисту науково-дослідницьких робіт учнів-членів Малої академії наук України отримують стипендії в розмірі:</w:t>
      </w:r>
    </w:p>
    <w:p w:rsidR="006D28FA" w:rsidRDefault="006D28FA" w:rsidP="006D28FA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 місце – 400 грн.</w:t>
      </w:r>
    </w:p>
    <w:p w:rsidR="006D28FA" w:rsidRDefault="006D28FA" w:rsidP="006D28FA">
      <w:pPr>
        <w:spacing w:line="276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 місце – 300 грн.</w:t>
      </w:r>
    </w:p>
    <w:p w:rsidR="006D28FA" w:rsidRDefault="006D28FA" w:rsidP="006D28FA">
      <w:pPr>
        <w:pStyle w:val="ListParagraph"/>
        <w:spacing w:after="0" w:line="276" w:lineRule="auto"/>
        <w:ind w:left="10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 місце –200 грн.</w:t>
      </w:r>
    </w:p>
    <w:p w:rsidR="006D28FA" w:rsidRDefault="006D28FA" w:rsidP="006D28F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Медалісти отримують одноразові премії в розмірі:</w:t>
      </w:r>
    </w:p>
    <w:p w:rsidR="006D28FA" w:rsidRDefault="006D28FA" w:rsidP="006D28FA">
      <w:pPr>
        <w:pStyle w:val="ListParagraph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Золота медаль – 1000 грн.</w:t>
      </w:r>
    </w:p>
    <w:p w:rsidR="006D28FA" w:rsidRDefault="006D28FA" w:rsidP="006D28FA">
      <w:pPr>
        <w:pStyle w:val="ListParagraph"/>
        <w:spacing w:after="0" w:line="276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Срібна медаль – 500 грн.</w:t>
      </w:r>
    </w:p>
    <w:p w:rsidR="006D28FA" w:rsidRDefault="006D28FA" w:rsidP="006D28FA">
      <w:pPr>
        <w:tabs>
          <w:tab w:val="left" w:pos="3855"/>
        </w:tabs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6D28FA" w:rsidRDefault="006D28FA" w:rsidP="006D28FA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Творчий напрямок</w:t>
      </w:r>
    </w:p>
    <w:p w:rsidR="006D28FA" w:rsidRDefault="006D28FA" w:rsidP="006D28FA">
      <w:pPr>
        <w:tabs>
          <w:tab w:val="left" w:pos="385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конкурсів, чемпіонатів, турнірів, фестивалів отримують одноразові премії в розмірі: </w:t>
      </w:r>
    </w:p>
    <w:p w:rsidR="006D28FA" w:rsidRDefault="006D28FA" w:rsidP="006D28FA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1 місце – 400 грн.</w:t>
      </w:r>
    </w:p>
    <w:p w:rsidR="006D28FA" w:rsidRDefault="006D28FA" w:rsidP="006D28FA">
      <w:pPr>
        <w:tabs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2 місце – 300 грн.</w:t>
      </w:r>
    </w:p>
    <w:p w:rsidR="006D28FA" w:rsidRDefault="006D28FA" w:rsidP="006D28FA">
      <w:pPr>
        <w:tabs>
          <w:tab w:val="left" w:pos="1276"/>
          <w:tab w:val="left" w:pos="1418"/>
          <w:tab w:val="left" w:pos="2535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3 місце – 200 грн.</w:t>
      </w:r>
    </w:p>
    <w:p w:rsidR="006D28FA" w:rsidRDefault="006D28FA" w:rsidP="006D28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Всеукраїнських та міжнародних конкурсів отримують одноразові премії в розмірі: </w:t>
      </w:r>
    </w:p>
    <w:p w:rsidR="006D28FA" w:rsidRDefault="006D28FA" w:rsidP="006D28FA">
      <w:pPr>
        <w:tabs>
          <w:tab w:val="left" w:pos="915"/>
          <w:tab w:val="left" w:pos="1134"/>
          <w:tab w:val="left" w:pos="1418"/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1 місце – 1000 грн.</w:t>
      </w:r>
    </w:p>
    <w:p w:rsidR="006D28FA" w:rsidRDefault="006D28FA" w:rsidP="006D28FA">
      <w:pPr>
        <w:tabs>
          <w:tab w:val="left" w:pos="9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2 місце – 800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6D28FA" w:rsidRDefault="006D28FA" w:rsidP="006D28FA">
      <w:pPr>
        <w:tabs>
          <w:tab w:val="left" w:pos="915"/>
          <w:tab w:val="left" w:pos="1276"/>
          <w:tab w:val="left" w:pos="141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3 місце – 500 грн.</w:t>
      </w:r>
    </w:p>
    <w:p w:rsidR="006D28FA" w:rsidRDefault="006D28FA" w:rsidP="006D28FA">
      <w:pPr>
        <w:tabs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Фізична культура, спорт, туризм</w:t>
      </w:r>
    </w:p>
    <w:p w:rsidR="006D28FA" w:rsidRDefault="006D28FA" w:rsidP="006D28FA">
      <w:pPr>
        <w:tabs>
          <w:tab w:val="left" w:pos="1418"/>
          <w:tab w:val="left" w:pos="213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6D28FA" w:rsidRDefault="006D28FA" w:rsidP="006D28F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обласних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школярів отримують одноразові премії в розмірі: </w:t>
      </w:r>
    </w:p>
    <w:p w:rsidR="006D28FA" w:rsidRDefault="006D28FA" w:rsidP="006D28FA">
      <w:pPr>
        <w:tabs>
          <w:tab w:val="left" w:pos="6390"/>
        </w:tabs>
        <w:spacing w:line="276" w:lineRule="auto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учасник</w:t>
      </w:r>
      <w:r>
        <w:rPr>
          <w:sz w:val="28"/>
          <w:szCs w:val="28"/>
          <w:lang w:val="uk-UA"/>
        </w:rPr>
        <w:tab/>
        <w:t xml:space="preserve">       Команда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1 місце – 300 грн.</w:t>
      </w:r>
      <w:r>
        <w:rPr>
          <w:sz w:val="28"/>
          <w:szCs w:val="28"/>
          <w:lang w:val="uk-UA"/>
        </w:rPr>
        <w:tab/>
        <w:t>1 місце – 600 грн.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2 місце – 200 грн.</w:t>
      </w:r>
      <w:r>
        <w:rPr>
          <w:sz w:val="28"/>
          <w:szCs w:val="28"/>
          <w:lang w:val="uk-UA"/>
        </w:rPr>
        <w:tab/>
        <w:t>2 місце – 400 грн.</w:t>
      </w:r>
    </w:p>
    <w:p w:rsidR="006D28FA" w:rsidRDefault="006D28FA" w:rsidP="006D28FA">
      <w:pPr>
        <w:tabs>
          <w:tab w:val="left" w:pos="1245"/>
          <w:tab w:val="left" w:pos="639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3 місце – 150 грн.</w:t>
      </w:r>
      <w:r>
        <w:rPr>
          <w:sz w:val="28"/>
          <w:szCs w:val="28"/>
          <w:lang w:val="uk-UA"/>
        </w:rPr>
        <w:tab/>
        <w:t>3 місце – 300 грн.</w:t>
      </w:r>
    </w:p>
    <w:p w:rsidR="006D28FA" w:rsidRDefault="006D28FA" w:rsidP="006D28FA">
      <w:pPr>
        <w:pStyle w:val="ListParagraph"/>
        <w:numPr>
          <w:ilvl w:val="0"/>
          <w:numId w:val="3"/>
        </w:numPr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Призери чемпіонатів України та призери міжнародних змагань отримують одноразові премії в розмірі: </w:t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Один учасник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Команда</w:t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 місце – 600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1 місце – 1000 грн.</w:t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 місце – 400 грн.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2 місце – 800 грн.</w:t>
      </w:r>
    </w:p>
    <w:p w:rsidR="006D28FA" w:rsidRDefault="006D28FA" w:rsidP="006D28FA">
      <w:pPr>
        <w:tabs>
          <w:tab w:val="left" w:pos="510"/>
          <w:tab w:val="left" w:pos="24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3 місце – 300 грн.</w:t>
      </w:r>
      <w:r>
        <w:rPr>
          <w:sz w:val="28"/>
          <w:szCs w:val="28"/>
          <w:lang w:val="uk-UA"/>
        </w:rPr>
        <w:tab/>
        <w:t xml:space="preserve">                                         3 місце – 500 грн.</w:t>
      </w:r>
    </w:p>
    <w:p w:rsidR="006D28FA" w:rsidRDefault="006D28FA" w:rsidP="006D28FA">
      <w:pPr>
        <w:tabs>
          <w:tab w:val="left" w:pos="510"/>
          <w:tab w:val="left" w:pos="2415"/>
          <w:tab w:val="left" w:pos="631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Порядок призначення одноразових </w:t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грошових винагород педагогічним працівникам</w:t>
      </w:r>
    </w:p>
    <w:p w:rsidR="006D28FA" w:rsidRDefault="006D28FA" w:rsidP="006D28FA">
      <w:pPr>
        <w:pStyle w:val="ListParagraph"/>
        <w:tabs>
          <w:tab w:val="left" w:pos="510"/>
          <w:tab w:val="left" w:pos="2415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 підготовку учнів  переможців  III або IV етапів Всеукраїнських учнівських олімпіад з навчальних предметів та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6D28FA" w:rsidRDefault="006D28FA" w:rsidP="006D28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У випадку, якщо  педагогічний працівник підготував двох учнів переможців  III або IV етапів Всеукраїнських учнівських олімпіад з навчальних предметів або/та </w:t>
      </w:r>
      <w:r>
        <w:rPr>
          <w:sz w:val="28"/>
          <w:szCs w:val="28"/>
          <w:lang w:val="uk-UA"/>
        </w:rPr>
        <w:lastRenderedPageBreak/>
        <w:t xml:space="preserve">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- 1200 грн. </w:t>
      </w:r>
    </w:p>
    <w:p w:rsidR="006D28FA" w:rsidRDefault="006D28FA" w:rsidP="006D28FA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У випадку, якщо  педагогічний працівник підготував трьох учнів переможців  III або IV етапів Всеукраїнських учнівських олімпіад з навчальних предметів або/та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- 1500 грн.</w:t>
      </w: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spacing w:line="276" w:lineRule="auto"/>
        <w:rPr>
          <w:sz w:val="28"/>
          <w:szCs w:val="28"/>
          <w:lang w:val="uk-UA"/>
        </w:rPr>
      </w:pPr>
    </w:p>
    <w:p w:rsidR="006D28FA" w:rsidRDefault="006D28FA" w:rsidP="006D28FA">
      <w:pPr>
        <w:tabs>
          <w:tab w:val="left" w:pos="7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  <w:t xml:space="preserve">        І. М </w:t>
      </w:r>
      <w:proofErr w:type="spellStart"/>
      <w:r>
        <w:rPr>
          <w:sz w:val="28"/>
          <w:szCs w:val="28"/>
          <w:lang w:val="uk-UA"/>
        </w:rPr>
        <w:t>.Невгод</w:t>
      </w:r>
      <w:proofErr w:type="spellEnd"/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</w:pPr>
    </w:p>
    <w:p w:rsidR="006D28FA" w:rsidRDefault="006D28FA" w:rsidP="006D28FA">
      <w:pPr>
        <w:rPr>
          <w:sz w:val="28"/>
          <w:szCs w:val="28"/>
          <w:lang w:val="uk-UA"/>
        </w:rPr>
        <w:sectPr w:rsidR="006D28FA">
          <w:pgSz w:w="11907" w:h="16443"/>
          <w:pgMar w:top="567" w:right="567" w:bottom="567" w:left="1134" w:header="709" w:footer="709" w:gutter="0"/>
          <w:cols w:space="720"/>
        </w:sectPr>
      </w:pPr>
    </w:p>
    <w:p w:rsidR="006D28FA" w:rsidRDefault="006D28FA" w:rsidP="006D28FA">
      <w:pPr>
        <w:rPr>
          <w:lang w:val="uk-UA"/>
        </w:rPr>
      </w:pPr>
    </w:p>
    <w:p w:rsidR="00467B0D" w:rsidRPr="006D28FA" w:rsidRDefault="00467B0D">
      <w:pPr>
        <w:rPr>
          <w:lang w:val="uk-UA"/>
        </w:rPr>
      </w:pPr>
    </w:p>
    <w:sectPr w:rsidR="00467B0D" w:rsidRPr="006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17"/>
    <w:rsid w:val="00467B0D"/>
    <w:rsid w:val="006D28FA"/>
    <w:rsid w:val="00A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28FA"/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D28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6D28F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28FA"/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6D28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6D28F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2018-12-20T09:27:00Z</dcterms:created>
  <dcterms:modified xsi:type="dcterms:W3CDTF">2018-12-20T09:30:00Z</dcterms:modified>
</cp:coreProperties>
</file>