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3545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Додаток 1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до рішення сільської ради 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</w:t>
      </w:r>
      <w:r w:rsidR="00926A9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№24-2</w:t>
      </w:r>
      <w:r w:rsidR="006E6932">
        <w:rPr>
          <w:rFonts w:ascii="Times New Roman" w:hAnsi="Times New Roman"/>
          <w:sz w:val="24"/>
          <w:szCs w:val="24"/>
          <w:lang w:val="uk-UA" w:eastAsia="uk-UA"/>
        </w:rPr>
        <w:t>5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 від 22.12.201</w:t>
      </w:r>
      <w:r w:rsidRPr="00521DF0">
        <w:rPr>
          <w:rFonts w:ascii="Times New Roman" w:hAnsi="Times New Roman"/>
          <w:sz w:val="24"/>
          <w:szCs w:val="24"/>
          <w:lang w:val="uk-UA" w:eastAsia="uk-UA"/>
        </w:rPr>
        <w:t>8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1DF0" w:rsidRPr="00521DF0" w:rsidRDefault="00521DF0" w:rsidP="00521DF0">
      <w:pPr>
        <w:shd w:val="clear" w:color="auto" w:fill="FFFFFF"/>
        <w:spacing w:after="0" w:line="317" w:lineRule="exact"/>
        <w:ind w:right="-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Програма «Соціальний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 xml:space="preserve"> захист та допомог</w:t>
      </w:r>
      <w:r>
        <w:rPr>
          <w:rFonts w:ascii="Times New Roman" w:hAnsi="Times New Roman"/>
          <w:b/>
          <w:sz w:val="32"/>
          <w:szCs w:val="32"/>
          <w:lang w:val="uk-UA"/>
        </w:rPr>
        <w:t>и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521DF0" w:rsidRPr="00521DF0" w:rsidRDefault="00521DF0" w:rsidP="00521DF0">
      <w:pPr>
        <w:shd w:val="clear" w:color="auto" w:fill="FFFFFF"/>
        <w:tabs>
          <w:tab w:val="left" w:pos="9354"/>
        </w:tabs>
        <w:spacing w:after="0" w:line="317" w:lineRule="exact"/>
        <w:ind w:right="-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21DF0">
        <w:rPr>
          <w:rFonts w:ascii="Times New Roman" w:hAnsi="Times New Roman"/>
          <w:b/>
          <w:sz w:val="32"/>
          <w:szCs w:val="32"/>
          <w:lang w:val="uk-UA"/>
        </w:rPr>
        <w:t xml:space="preserve"> на 201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Pr="00521DF0">
        <w:rPr>
          <w:rFonts w:ascii="Times New Roman" w:hAnsi="Times New Roman"/>
          <w:b/>
          <w:sz w:val="32"/>
          <w:szCs w:val="32"/>
          <w:lang w:val="uk-UA"/>
        </w:rPr>
        <w:t>рік</w:t>
      </w:r>
    </w:p>
    <w:p w:rsidR="00521DF0" w:rsidRPr="00521DF0" w:rsidRDefault="00521DF0" w:rsidP="00521DF0">
      <w:pPr>
        <w:shd w:val="clear" w:color="auto" w:fill="FFFFFF"/>
        <w:spacing w:after="0" w:line="317" w:lineRule="exact"/>
        <w:ind w:right="103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  <w:lang w:val="uk-UA"/>
        </w:rPr>
      </w:pPr>
    </w:p>
    <w:p w:rsidR="00521DF0" w:rsidRPr="00521DF0" w:rsidRDefault="00521DF0" w:rsidP="00521DF0">
      <w:pPr>
        <w:shd w:val="clear" w:color="auto" w:fill="FFFFFF"/>
        <w:tabs>
          <w:tab w:val="left" w:pos="9354"/>
        </w:tabs>
        <w:spacing w:after="0" w:line="317" w:lineRule="exact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DF0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1. Загальна частина</w:t>
      </w:r>
    </w:p>
    <w:p w:rsidR="00521DF0" w:rsidRPr="00521DF0" w:rsidRDefault="00521DF0" w:rsidP="00521DF0">
      <w:pPr>
        <w:shd w:val="clear" w:color="auto" w:fill="FFFFFF"/>
        <w:spacing w:after="0"/>
        <w:ind w:right="10" w:firstLine="48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proofErr w:type="spellStart"/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Степанківська</w:t>
      </w:r>
      <w:proofErr w:type="spellEnd"/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інвалідам, ветеранам війни та праці, вдовам учасників ВВВ, інвалідам з дитинства, багатодітним сім’ям, учасникам ліквідації аварії на Чорнобильській ЕАС,</w:t>
      </w:r>
      <w:r w:rsidRPr="00521DF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учасникам АТО, сім’ям  учасників АТО, переселенцям із зони АТО та особам,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внутрішньо переміщеним особам, тощо,</w:t>
      </w:r>
      <w:r w:rsidRPr="00521DF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які потрапили в складні життєві ситуації</w:t>
      </w:r>
      <w:r w:rsidRPr="00521DF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. </w:t>
      </w:r>
    </w:p>
    <w:p w:rsidR="00521DF0" w:rsidRDefault="00521DF0" w:rsidP="00521DF0">
      <w:pPr>
        <w:shd w:val="clear" w:color="auto" w:fill="FFFFFF"/>
        <w:spacing w:after="0"/>
        <w:ind w:left="480" w:right="1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сільських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рад входить:</w:t>
      </w:r>
    </w:p>
    <w:p w:rsidR="00521DF0" w:rsidRDefault="00521DF0" w:rsidP="00521DF0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умов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онкохворим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ліквідацію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стихійного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лиха, на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поховання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самотніх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досягли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пенсійного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віку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ветеранам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праці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категорій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малозабезпечених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багатодітним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вихованням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займається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(при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довідки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УПСЗН),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громадяни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похилого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віку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ліквідаторам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аварії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Чорнобильській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АЕС,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переселенцям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зони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АТО,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внутрішньо переміщеним особам,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воїнам-інтернаціоналістам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дій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постраждалим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пожежі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нещасних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опіки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піклування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22" w:lineRule="exact"/>
        <w:ind w:right="10"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засадами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сприяння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особам,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вони не в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змозі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подолати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на принципах: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адресності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підходу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доступності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відкритості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добровільності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вибору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відмови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комплексності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максимальної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суб'єктами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справедливості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конфіденційності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суб'єктами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етичних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норм.</w:t>
      </w:r>
    </w:p>
    <w:p w:rsidR="00521DF0" w:rsidRDefault="00521DF0" w:rsidP="00521DF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</w:rPr>
      </w:pPr>
    </w:p>
    <w:p w:rsidR="00521DF0" w:rsidRDefault="00521DF0" w:rsidP="00521DF0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2. Мета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незахищеним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категоріям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неспроможні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подолати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322" w:lineRule="exact"/>
        <w:ind w:right="5" w:firstLine="53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Сприяння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особам,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підхід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максимальна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справедливість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етичних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норм.</w:t>
      </w:r>
    </w:p>
    <w:p w:rsidR="00521DF0" w:rsidRDefault="00521DF0" w:rsidP="00521DF0">
      <w:pPr>
        <w:shd w:val="clear" w:color="auto" w:fill="FFFFFF"/>
        <w:spacing w:after="0" w:line="322" w:lineRule="exact"/>
        <w:ind w:right="10" w:firstLine="53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мінімальні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обсяги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необхідної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встановлена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періодичність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її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 w:firstLine="53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підопічним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проживають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Черкаського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району для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виплати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трьом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соціальним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робітникам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відділення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вдома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/>
        <w:ind w:right="10" w:firstLine="53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бюджету,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джерел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521DF0" w:rsidRDefault="00521DF0" w:rsidP="00521D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521DF0" w:rsidRDefault="00521DF0" w:rsidP="00521DF0">
      <w:pPr>
        <w:shd w:val="clear" w:color="auto" w:fill="FFFFFF"/>
        <w:spacing w:after="0" w:line="240" w:lineRule="auto"/>
        <w:ind w:left="17" w:firstLine="69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Очікується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одиноким –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непрацездатним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малозахищеним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верствам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села</w:t>
      </w:r>
      <w:r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відбудеться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незахищеним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верствам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позабюджетні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використовуватимуться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максимально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Невгод</w:t>
      </w:r>
      <w:proofErr w:type="spellEnd"/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Додаток 2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                      до рішення сільської ради </w:t>
      </w:r>
    </w:p>
    <w:p w:rsidR="00521DF0" w:rsidRDefault="006E6932" w:rsidP="0052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№24-25</w:t>
      </w:r>
      <w:r w:rsidR="00521DF0">
        <w:rPr>
          <w:rFonts w:ascii="Times New Roman" w:hAnsi="Times New Roman"/>
          <w:sz w:val="24"/>
          <w:szCs w:val="24"/>
          <w:lang w:val="uk-UA" w:eastAsia="uk-UA"/>
        </w:rPr>
        <w:t>/</w:t>
      </w:r>
      <w:r w:rsidR="00521DF0">
        <w:rPr>
          <w:rFonts w:ascii="Times New Roman" w:hAnsi="Times New Roman"/>
          <w:sz w:val="24"/>
          <w:szCs w:val="24"/>
          <w:lang w:val="en-US" w:eastAsia="uk-UA"/>
        </w:rPr>
        <w:t>V</w:t>
      </w:r>
      <w:r w:rsidR="00521DF0">
        <w:rPr>
          <w:rFonts w:ascii="Times New Roman" w:hAnsi="Times New Roman"/>
          <w:sz w:val="24"/>
          <w:szCs w:val="24"/>
          <w:lang w:val="uk-UA" w:eastAsia="uk-UA"/>
        </w:rPr>
        <w:t>ІІ від 22.12.2018 р.</w:t>
      </w:r>
    </w:p>
    <w:p w:rsidR="00521DF0" w:rsidRDefault="00521DF0" w:rsidP="0052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521DF0" w:rsidRDefault="00521DF0" w:rsidP="00521DF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та обсяги фінансування на виконання </w:t>
      </w:r>
    </w:p>
    <w:p w:rsidR="00521DF0" w:rsidRDefault="00521DF0" w:rsidP="005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«Соціальний захист та допомоги» на 2019рік </w:t>
      </w:r>
    </w:p>
    <w:p w:rsidR="00521DF0" w:rsidRDefault="00521DF0" w:rsidP="00521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1"/>
        <w:gridCol w:w="1558"/>
        <w:gridCol w:w="1984"/>
      </w:tblGrid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Вид допомоги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Період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Виконавці, джерело</w:t>
            </w: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фінансування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Соціальні заходи для одиноких непрацездатних громадян та інвалідів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Організація шефства над інвалідами та одинокими громадянами для надання їм соціальної – побутової допомоги, волонтерський рух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Виконком сільської ради, соціальні працівники,  ЗОШ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територіального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Черкаського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виплати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заробітної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трьом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робітникам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вдома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31.12.201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Матеріальна і натуральна допомога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Одноразова матеріальна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Безкоштовне харчування (благодійні обіди) до Дня Перемоги, міжнародного дня громадян похилого віку, Міжнародного дня інвалідів, Міжнародного жіночого дня, Дня знань, Міжнародного дня інвалідів, Дня пам’яті про Чорнобильську катастрофу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кошти спонсорів, благодійників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у вигляді продуктових наборів інвалідам, малозабезпеченим та багатодітним сім’ям, сім’ям, які опинились в складних життєвих обставинах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До державних свят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благодійних допомог підприємств та організацій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у вигляді одягу, білизни, взуття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гуманітарної допомоги, пожертвувань, коштів </w:t>
            </w:r>
          </w:p>
        </w:tc>
      </w:tr>
      <w:tr w:rsidR="00521DF0" w:rsidRPr="00841830" w:rsidTr="00521DF0">
        <w:trPr>
          <w:trHeight w:val="6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допомоги сім’ям, в яких проживають інваліди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До дня інвалідів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благодійних внесків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підприємців та організацій та коштів місцевого бюджету</w:t>
            </w:r>
          </w:p>
        </w:tc>
      </w:tr>
      <w:tr w:rsidR="00521DF0" w:rsidRPr="0084183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Допомога багатодітним сім’ям, сім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ям переселенців та учасників АТО, ліквідаторам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благодійних внесків підприємців та організацій та коштів місцевого бюджету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Одноразова допомога дітям – інвалідам, хворим на ДЦП</w:t>
            </w:r>
          </w:p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Дня інваліда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Дня сім’ї (спортивні змагання, змагання сімей, які виховують дітей – інвалідів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15 травня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для дітей – інвалідів приручені до Міжнародного дня захисту дітей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 червня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місцевих бюджетів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до Дня Незалежності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24 серпня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Дня людей похилого віку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 жовтня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приурочені до Міжнародного Дня інвалідів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3 грудня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місцевого бюджету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Заходи по відзначенню Дня Святого Миколая, новорічних і різдвяних свят для дітей – інвалідів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19-31 грудня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Виділення коштів для вітання із 85-и та 90- та 95-річчям учасників бойових дій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50% знижки багатодітним сім’ям за перебування в ДНЗ с. Степанки,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та надання 100% знижки  сім’ям учасників АТО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місцевих бюджетів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Виділення коштів для забезпечення санаторно-курортним лікуванням постраждалих внаслідок Чорнобильської катастрофи I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місцевих бюджетів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Субвенції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виплату пільг окремим категоріям громадян з оплати зв’язку відповідно до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виплату компенсації за соціальні послуги громадянам похилого віку, інвалідам, дітям-інвалідам, хворим, які не здатні до самообслуговування і потребують сторонньої допомоги фізичним особам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  <w:tr w:rsidR="00521DF0" w:rsidTr="00521D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субвенції на належну організацію роботи щодо призначення субсидій на ЖКГ в опалювальний сезон 2018-2019, літній період 2019, нарахування державної допомоги сім’ям з дітьми та пільг на оплату ЖКГ у 2019 р., мешканцям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0" w:rsidRDefault="00521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місцевого бюджету  </w:t>
            </w:r>
          </w:p>
        </w:tc>
      </w:tr>
    </w:tbl>
    <w:p w:rsidR="00521DF0" w:rsidRDefault="00521DF0" w:rsidP="00521D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DF0" w:rsidRDefault="00521DF0" w:rsidP="00521D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521DF0" w:rsidRDefault="00521DF0" w:rsidP="00521DF0">
      <w:pPr>
        <w:rPr>
          <w:lang w:val="uk-UA"/>
        </w:rPr>
      </w:pPr>
    </w:p>
    <w:p w:rsidR="0025378D" w:rsidRPr="00521DF0" w:rsidRDefault="0025378D">
      <w:pPr>
        <w:rPr>
          <w:lang w:val="uk-UA"/>
        </w:rPr>
      </w:pPr>
    </w:p>
    <w:sectPr w:rsidR="0025378D" w:rsidRPr="0052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715F"/>
    <w:multiLevelType w:val="hybridMultilevel"/>
    <w:tmpl w:val="FA6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96"/>
    <w:rsid w:val="0025378D"/>
    <w:rsid w:val="00521DF0"/>
    <w:rsid w:val="006E6932"/>
    <w:rsid w:val="00841830"/>
    <w:rsid w:val="00926A95"/>
    <w:rsid w:val="009A4D30"/>
    <w:rsid w:val="00A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41D"/>
  <w15:docId w15:val="{71C9EBB7-C4AC-4E7F-8D60-13B4C0FD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2018-12-20T13:00:00Z</cp:lastPrinted>
  <dcterms:created xsi:type="dcterms:W3CDTF">2019-01-10T15:16:00Z</dcterms:created>
  <dcterms:modified xsi:type="dcterms:W3CDTF">2019-01-10T15:16:00Z</dcterms:modified>
</cp:coreProperties>
</file>