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13" w:rsidRDefault="006D0C13" w:rsidP="001844CE">
      <w:pPr>
        <w:spacing w:after="0" w:line="240" w:lineRule="auto"/>
      </w:pPr>
    </w:p>
    <w:p w:rsidR="0080522F" w:rsidRPr="0080522F" w:rsidRDefault="0080522F" w:rsidP="001844CE">
      <w:pPr>
        <w:pStyle w:val="32"/>
        <w:shd w:val="clear" w:color="auto" w:fill="auto"/>
        <w:spacing w:line="24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РЕГУЛЯТОРНОГО ВПЛИВУ</w:t>
      </w:r>
    </w:p>
    <w:p w:rsidR="0080522F" w:rsidRPr="006B1101" w:rsidRDefault="0080522F" w:rsidP="001844CE">
      <w:pPr>
        <w:pStyle w:val="32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6B1101">
        <w:rPr>
          <w:sz w:val="28"/>
          <w:szCs w:val="28"/>
        </w:rPr>
        <w:t xml:space="preserve">проекту </w:t>
      </w:r>
      <w:proofErr w:type="spellStart"/>
      <w:proofErr w:type="gramStart"/>
      <w:r w:rsidRPr="006B1101">
        <w:rPr>
          <w:sz w:val="28"/>
          <w:szCs w:val="28"/>
        </w:rPr>
        <w:t>рішення</w:t>
      </w:r>
      <w:proofErr w:type="spellEnd"/>
      <w:r w:rsidRPr="006B1101">
        <w:rPr>
          <w:sz w:val="28"/>
          <w:szCs w:val="28"/>
        </w:rPr>
        <w:t xml:space="preserve">  Степанківської</w:t>
      </w:r>
      <w:proofErr w:type="gramEnd"/>
      <w:r w:rsidRPr="006B1101">
        <w:rPr>
          <w:sz w:val="28"/>
          <w:szCs w:val="28"/>
        </w:rPr>
        <w:t xml:space="preserve"> </w:t>
      </w:r>
      <w:proofErr w:type="spellStart"/>
      <w:r w:rsidRPr="006B1101">
        <w:rPr>
          <w:sz w:val="28"/>
          <w:szCs w:val="28"/>
        </w:rPr>
        <w:t>сільської</w:t>
      </w:r>
      <w:proofErr w:type="spellEnd"/>
      <w:r w:rsidRPr="006B1101">
        <w:rPr>
          <w:sz w:val="28"/>
          <w:szCs w:val="28"/>
        </w:rPr>
        <w:t xml:space="preserve"> ради «Про </w:t>
      </w:r>
      <w:proofErr w:type="spellStart"/>
      <w:r w:rsidRPr="006B1101">
        <w:rPr>
          <w:sz w:val="28"/>
          <w:szCs w:val="28"/>
        </w:rPr>
        <w:t>встановлення</w:t>
      </w:r>
      <w:proofErr w:type="spellEnd"/>
      <w:r w:rsidRPr="006B110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Єдиного податку та затвердження відповідного Положення</w:t>
      </w:r>
      <w:r w:rsidRPr="006B1101">
        <w:rPr>
          <w:sz w:val="28"/>
          <w:szCs w:val="28"/>
        </w:rPr>
        <w:t xml:space="preserve"> на 2020 </w:t>
      </w:r>
      <w:proofErr w:type="spellStart"/>
      <w:r w:rsidRPr="006B1101">
        <w:rPr>
          <w:sz w:val="28"/>
          <w:szCs w:val="28"/>
        </w:rPr>
        <w:t>рік</w:t>
      </w:r>
      <w:proofErr w:type="spellEnd"/>
      <w:r w:rsidRPr="006B1101">
        <w:rPr>
          <w:sz w:val="28"/>
          <w:szCs w:val="28"/>
        </w:rPr>
        <w:t>»</w:t>
      </w:r>
    </w:p>
    <w:p w:rsidR="00255B45" w:rsidRPr="00487337" w:rsidRDefault="00255B45" w:rsidP="001844CE">
      <w:pPr>
        <w:pStyle w:val="3"/>
        <w:spacing w:before="0" w:beforeAutospacing="0" w:after="0" w:afterAutospacing="0"/>
        <w:jc w:val="center"/>
        <w:rPr>
          <w:lang w:val="uk-UA"/>
        </w:rPr>
      </w:pPr>
      <w:r w:rsidRPr="00487337">
        <w:rPr>
          <w:lang w:val="uk-UA"/>
        </w:rPr>
        <w:t xml:space="preserve">I. </w:t>
      </w:r>
      <w:r w:rsidRPr="002F4B61">
        <w:rPr>
          <w:sz w:val="28"/>
          <w:szCs w:val="28"/>
          <w:lang w:val="uk-UA"/>
        </w:rPr>
        <w:t>Визначення проблеми</w:t>
      </w:r>
    </w:p>
    <w:p w:rsidR="00854145" w:rsidRPr="0080522F" w:rsidRDefault="00AB6806" w:rsidP="001844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0522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0522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0522F">
        <w:rPr>
          <w:rFonts w:ascii="Times New Roman" w:hAnsi="Times New Roman"/>
          <w:sz w:val="28"/>
          <w:szCs w:val="28"/>
        </w:rPr>
        <w:t>статті</w:t>
      </w:r>
      <w:proofErr w:type="spellEnd"/>
      <w:r w:rsidRPr="0080522F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80522F">
        <w:rPr>
          <w:rFonts w:ascii="Times New Roman" w:hAnsi="Times New Roman"/>
          <w:sz w:val="28"/>
          <w:szCs w:val="28"/>
        </w:rPr>
        <w:t>Податкового</w:t>
      </w:r>
      <w:proofErr w:type="spellEnd"/>
      <w:r w:rsidRPr="0080522F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80522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052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522F">
        <w:rPr>
          <w:rFonts w:ascii="Times New Roman" w:hAnsi="Times New Roman"/>
          <w:sz w:val="28"/>
          <w:szCs w:val="28"/>
        </w:rPr>
        <w:t>визначено</w:t>
      </w:r>
      <w:proofErr w:type="spellEnd"/>
      <w:r w:rsidRPr="008052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522F">
        <w:rPr>
          <w:rFonts w:ascii="Times New Roman" w:hAnsi="Times New Roman"/>
          <w:sz w:val="28"/>
          <w:szCs w:val="28"/>
        </w:rPr>
        <w:t>перелік</w:t>
      </w:r>
      <w:proofErr w:type="spellEnd"/>
      <w:r w:rsidRPr="008052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522F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8052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522F">
        <w:rPr>
          <w:rFonts w:ascii="Times New Roman" w:hAnsi="Times New Roman"/>
          <w:sz w:val="28"/>
          <w:szCs w:val="28"/>
        </w:rPr>
        <w:t>податків</w:t>
      </w:r>
      <w:proofErr w:type="spellEnd"/>
      <w:r w:rsidRPr="0080522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0522F">
        <w:rPr>
          <w:rFonts w:ascii="Times New Roman" w:hAnsi="Times New Roman"/>
          <w:sz w:val="28"/>
          <w:szCs w:val="28"/>
        </w:rPr>
        <w:t>зборів</w:t>
      </w:r>
      <w:proofErr w:type="spellEnd"/>
      <w:r w:rsidRPr="008052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0522F">
        <w:rPr>
          <w:rFonts w:ascii="Times New Roman" w:hAnsi="Times New Roman"/>
          <w:sz w:val="28"/>
          <w:szCs w:val="28"/>
        </w:rPr>
        <w:t>Згідно</w:t>
      </w:r>
      <w:proofErr w:type="spellEnd"/>
      <w:r w:rsidRPr="008052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522F">
        <w:rPr>
          <w:rFonts w:ascii="Times New Roman" w:hAnsi="Times New Roman"/>
          <w:sz w:val="28"/>
          <w:szCs w:val="28"/>
        </w:rPr>
        <w:t>зі</w:t>
      </w:r>
      <w:proofErr w:type="spellEnd"/>
      <w:r w:rsidRPr="008052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522F">
        <w:rPr>
          <w:rFonts w:ascii="Times New Roman" w:hAnsi="Times New Roman"/>
          <w:sz w:val="28"/>
          <w:szCs w:val="28"/>
        </w:rPr>
        <w:t>статтею</w:t>
      </w:r>
      <w:proofErr w:type="spellEnd"/>
      <w:r w:rsidRPr="0080522F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80522F">
        <w:rPr>
          <w:rFonts w:ascii="Times New Roman" w:hAnsi="Times New Roman"/>
          <w:sz w:val="28"/>
          <w:szCs w:val="28"/>
        </w:rPr>
        <w:t>Податкового</w:t>
      </w:r>
      <w:proofErr w:type="spellEnd"/>
      <w:r w:rsidRPr="0080522F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80522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0522F">
        <w:rPr>
          <w:rFonts w:ascii="Times New Roman" w:hAnsi="Times New Roman"/>
          <w:sz w:val="28"/>
          <w:szCs w:val="28"/>
        </w:rPr>
        <w:t xml:space="preserve"> </w:t>
      </w:r>
      <w:r w:rsidR="0080522F" w:rsidRPr="0080522F">
        <w:rPr>
          <w:rFonts w:ascii="Times New Roman" w:hAnsi="Times New Roman"/>
          <w:sz w:val="28"/>
          <w:szCs w:val="28"/>
          <w:lang w:val="uk-UA"/>
        </w:rPr>
        <w:t>сільські</w:t>
      </w:r>
      <w:r w:rsidRPr="0080522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80522F">
        <w:rPr>
          <w:rFonts w:ascii="Times New Roman" w:hAnsi="Times New Roman"/>
          <w:sz w:val="28"/>
          <w:szCs w:val="28"/>
        </w:rPr>
        <w:t>встановлюють</w:t>
      </w:r>
      <w:proofErr w:type="spellEnd"/>
      <w:r w:rsidRPr="008052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522F">
        <w:rPr>
          <w:rFonts w:ascii="Times New Roman" w:hAnsi="Times New Roman"/>
          <w:sz w:val="28"/>
          <w:szCs w:val="28"/>
        </w:rPr>
        <w:t>місцеві</w:t>
      </w:r>
      <w:proofErr w:type="spellEnd"/>
      <w:r w:rsidRPr="008052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522F">
        <w:rPr>
          <w:rFonts w:ascii="Times New Roman" w:hAnsi="Times New Roman"/>
          <w:sz w:val="28"/>
          <w:szCs w:val="28"/>
        </w:rPr>
        <w:t>податки</w:t>
      </w:r>
      <w:proofErr w:type="spellEnd"/>
      <w:r w:rsidRPr="0080522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0522F">
        <w:rPr>
          <w:rFonts w:ascii="Times New Roman" w:hAnsi="Times New Roman"/>
          <w:sz w:val="28"/>
          <w:szCs w:val="28"/>
        </w:rPr>
        <w:t>збори</w:t>
      </w:r>
      <w:proofErr w:type="spellEnd"/>
      <w:r w:rsidRPr="0080522F">
        <w:rPr>
          <w:rFonts w:ascii="Times New Roman" w:hAnsi="Times New Roman"/>
          <w:sz w:val="28"/>
          <w:szCs w:val="28"/>
        </w:rPr>
        <w:t xml:space="preserve">. </w:t>
      </w:r>
    </w:p>
    <w:p w:rsidR="004C03E4" w:rsidRPr="0080522F" w:rsidRDefault="00854145" w:rsidP="001844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522F">
        <w:rPr>
          <w:rFonts w:ascii="Times New Roman" w:hAnsi="Times New Roman"/>
          <w:sz w:val="28"/>
          <w:szCs w:val="28"/>
          <w:lang w:val="uk-UA"/>
        </w:rPr>
        <w:t xml:space="preserve">Згідно Закону України «Про місцеве самоврядування в Україні» повноваження щодо встановлення місцевих податків і зборів відносяться до виключної компетенції місцевої ради. </w:t>
      </w:r>
    </w:p>
    <w:p w:rsidR="00854145" w:rsidRPr="0080522F" w:rsidRDefault="00854145" w:rsidP="001844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0522F">
        <w:rPr>
          <w:rFonts w:ascii="Times New Roman" w:hAnsi="Times New Roman"/>
          <w:sz w:val="28"/>
          <w:szCs w:val="28"/>
          <w:lang w:val="uk-UA"/>
        </w:rPr>
        <w:t xml:space="preserve">Враховуючи положення Податкового Кодексу України та Закону України «Про місцеве самоврядування в Україні», виникає необхідність встановлення на території </w:t>
      </w:r>
      <w:r w:rsidR="0080522F">
        <w:rPr>
          <w:rFonts w:ascii="Times New Roman" w:hAnsi="Times New Roman"/>
          <w:sz w:val="28"/>
          <w:szCs w:val="28"/>
          <w:lang w:val="uk-UA"/>
        </w:rPr>
        <w:t>Степанківської сільської об’єднаної територіальної громади</w:t>
      </w:r>
      <w:r w:rsidRPr="0080522F">
        <w:rPr>
          <w:rFonts w:ascii="Times New Roman" w:hAnsi="Times New Roman"/>
          <w:sz w:val="28"/>
          <w:szCs w:val="28"/>
          <w:lang w:val="uk-UA"/>
        </w:rPr>
        <w:t xml:space="preserve"> єдиного податку на 20</w:t>
      </w:r>
      <w:r w:rsidR="00F01E3E" w:rsidRPr="0080522F">
        <w:rPr>
          <w:rFonts w:ascii="Times New Roman" w:hAnsi="Times New Roman"/>
          <w:sz w:val="28"/>
          <w:szCs w:val="28"/>
          <w:lang w:val="uk-UA"/>
        </w:rPr>
        <w:t>20</w:t>
      </w:r>
      <w:r w:rsidRPr="0080522F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2B2F87" w:rsidRPr="0080522F" w:rsidRDefault="007262C3" w:rsidP="001844CE">
      <w:pPr>
        <w:spacing w:after="0" w:line="240" w:lineRule="auto"/>
        <w:ind w:firstLine="567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  <w:r w:rsidRPr="0080522F">
        <w:rPr>
          <w:rFonts w:ascii="Times New Roman" w:hAnsi="Times New Roman"/>
          <w:sz w:val="28"/>
          <w:szCs w:val="28"/>
          <w:lang w:val="uk-UA"/>
        </w:rPr>
        <w:t xml:space="preserve">Проблемою є те, що в разі не встановлення </w:t>
      </w:r>
      <w:r w:rsidR="0080522F">
        <w:rPr>
          <w:rFonts w:ascii="Times New Roman" w:hAnsi="Times New Roman"/>
          <w:sz w:val="28"/>
          <w:szCs w:val="28"/>
          <w:lang w:val="uk-UA"/>
        </w:rPr>
        <w:t>сільською</w:t>
      </w:r>
      <w:r w:rsidRPr="0080522F">
        <w:rPr>
          <w:rFonts w:ascii="Times New Roman" w:hAnsi="Times New Roman"/>
          <w:sz w:val="28"/>
          <w:szCs w:val="28"/>
          <w:lang w:val="uk-UA"/>
        </w:rPr>
        <w:t xml:space="preserve"> радою місцевих податків, будуть застосовуватися мінімальні ставки податку, визначені в Податковому кодексі України, при цьому не будуть враховані інтереси громади по встановленню таких ставок. </w:t>
      </w:r>
      <w:r w:rsidR="00AB6806" w:rsidRPr="008052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6806" w:rsidRPr="0080522F">
        <w:rPr>
          <w:rFonts w:ascii="Times New Roman" w:hAnsi="Times New Roman"/>
          <w:sz w:val="28"/>
          <w:szCs w:val="28"/>
        </w:rPr>
        <w:t>Прийняття</w:t>
      </w:r>
      <w:proofErr w:type="spellEnd"/>
      <w:r w:rsidR="00AB6806" w:rsidRPr="008052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6806" w:rsidRPr="0080522F">
        <w:rPr>
          <w:rFonts w:ascii="Times New Roman" w:hAnsi="Times New Roman"/>
          <w:sz w:val="28"/>
          <w:szCs w:val="28"/>
        </w:rPr>
        <w:t>цього</w:t>
      </w:r>
      <w:proofErr w:type="spellEnd"/>
      <w:r w:rsidR="00AB6806" w:rsidRPr="0080522F">
        <w:rPr>
          <w:rFonts w:ascii="Times New Roman" w:hAnsi="Times New Roman"/>
          <w:sz w:val="28"/>
          <w:szCs w:val="28"/>
        </w:rPr>
        <w:t xml:space="preserve"> регуляторного акта </w:t>
      </w:r>
      <w:proofErr w:type="spellStart"/>
      <w:r w:rsidR="00AB6806" w:rsidRPr="0080522F">
        <w:rPr>
          <w:rFonts w:ascii="Times New Roman" w:hAnsi="Times New Roman"/>
          <w:sz w:val="28"/>
          <w:szCs w:val="28"/>
        </w:rPr>
        <w:t>дасть</w:t>
      </w:r>
      <w:proofErr w:type="spellEnd"/>
      <w:r w:rsidR="00AB6806" w:rsidRPr="008052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6806" w:rsidRPr="0080522F">
        <w:rPr>
          <w:rFonts w:ascii="Times New Roman" w:hAnsi="Times New Roman"/>
          <w:sz w:val="28"/>
          <w:szCs w:val="28"/>
        </w:rPr>
        <w:t>можливість</w:t>
      </w:r>
      <w:proofErr w:type="spellEnd"/>
      <w:r w:rsidR="00AB6806" w:rsidRPr="008052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6806" w:rsidRPr="0080522F">
        <w:rPr>
          <w:rFonts w:ascii="Times New Roman" w:hAnsi="Times New Roman"/>
          <w:sz w:val="28"/>
          <w:szCs w:val="28"/>
        </w:rPr>
        <w:t>здійснення</w:t>
      </w:r>
      <w:proofErr w:type="spellEnd"/>
      <w:r w:rsidR="00AB6806" w:rsidRPr="0080522F">
        <w:rPr>
          <w:rFonts w:ascii="Times New Roman" w:hAnsi="Times New Roman"/>
          <w:sz w:val="28"/>
          <w:szCs w:val="28"/>
        </w:rPr>
        <w:t xml:space="preserve"> контролю за </w:t>
      </w:r>
      <w:proofErr w:type="spellStart"/>
      <w:r w:rsidR="00AB6806" w:rsidRPr="0080522F">
        <w:rPr>
          <w:rFonts w:ascii="Times New Roman" w:hAnsi="Times New Roman"/>
          <w:sz w:val="28"/>
          <w:szCs w:val="28"/>
        </w:rPr>
        <w:t>додержанням</w:t>
      </w:r>
      <w:proofErr w:type="spellEnd"/>
      <w:r w:rsidR="00AB6806" w:rsidRPr="0080522F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="00AB6806" w:rsidRPr="0080522F">
        <w:rPr>
          <w:rFonts w:ascii="Times New Roman" w:hAnsi="Times New Roman"/>
          <w:sz w:val="28"/>
          <w:szCs w:val="28"/>
        </w:rPr>
        <w:t>розрахунку</w:t>
      </w:r>
      <w:proofErr w:type="spellEnd"/>
      <w:r w:rsidR="00AB6806" w:rsidRPr="0080522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AB6806" w:rsidRPr="0080522F">
        <w:rPr>
          <w:rFonts w:ascii="Times New Roman" w:hAnsi="Times New Roman"/>
          <w:sz w:val="28"/>
          <w:szCs w:val="28"/>
        </w:rPr>
        <w:t>сплати</w:t>
      </w:r>
      <w:proofErr w:type="spellEnd"/>
      <w:r w:rsidR="00AB6806" w:rsidRPr="008052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4C87" w:rsidRPr="0080522F">
        <w:rPr>
          <w:rFonts w:ascii="Times New Roman" w:hAnsi="Times New Roman"/>
          <w:sz w:val="28"/>
          <w:szCs w:val="28"/>
        </w:rPr>
        <w:t>єдиного</w:t>
      </w:r>
      <w:proofErr w:type="spellEnd"/>
      <w:r w:rsidR="00E14C87" w:rsidRPr="0080522F">
        <w:rPr>
          <w:rFonts w:ascii="Times New Roman" w:hAnsi="Times New Roman"/>
          <w:sz w:val="28"/>
          <w:szCs w:val="28"/>
        </w:rPr>
        <w:t xml:space="preserve"> по</w:t>
      </w:r>
      <w:r w:rsidR="00E14C87" w:rsidRPr="0080522F">
        <w:rPr>
          <w:rFonts w:ascii="Times New Roman" w:hAnsi="Times New Roman"/>
          <w:sz w:val="28"/>
          <w:szCs w:val="28"/>
          <w:lang w:val="uk-UA"/>
        </w:rPr>
        <w:t>дат</w:t>
      </w:r>
      <w:r w:rsidR="00E14C87" w:rsidRPr="0080522F">
        <w:rPr>
          <w:rFonts w:ascii="Times New Roman" w:hAnsi="Times New Roman"/>
          <w:sz w:val="28"/>
          <w:szCs w:val="28"/>
        </w:rPr>
        <w:t>ку</w:t>
      </w:r>
      <w:r w:rsidR="001A70DF" w:rsidRPr="0080522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B6806" w:rsidRPr="0080522F">
        <w:rPr>
          <w:rFonts w:ascii="Times New Roman" w:hAnsi="Times New Roman"/>
          <w:sz w:val="28"/>
          <w:szCs w:val="28"/>
          <w:lang w:val="uk-UA"/>
        </w:rPr>
        <w:t>поповн</w:t>
      </w:r>
      <w:r w:rsidR="001A70DF" w:rsidRPr="0080522F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AB6806" w:rsidRPr="0080522F">
        <w:rPr>
          <w:rFonts w:ascii="Times New Roman" w:hAnsi="Times New Roman"/>
          <w:sz w:val="28"/>
          <w:szCs w:val="28"/>
          <w:lang w:val="uk-UA"/>
        </w:rPr>
        <w:t>бюджет</w:t>
      </w:r>
      <w:r w:rsidR="008052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0522F">
        <w:rPr>
          <w:rFonts w:ascii="Times New Roman" w:hAnsi="Times New Roman"/>
          <w:sz w:val="28"/>
          <w:szCs w:val="28"/>
          <w:lang w:val="uk-UA"/>
        </w:rPr>
        <w:t>об’днаної</w:t>
      </w:r>
      <w:proofErr w:type="spellEnd"/>
      <w:r w:rsidR="0080522F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  <w:r w:rsidR="00E14C87" w:rsidRPr="0080522F">
        <w:rPr>
          <w:rFonts w:ascii="Times New Roman" w:hAnsi="Times New Roman"/>
          <w:sz w:val="28"/>
          <w:szCs w:val="28"/>
          <w:lang w:val="uk-UA"/>
        </w:rPr>
        <w:t xml:space="preserve">, що </w:t>
      </w:r>
      <w:proofErr w:type="spellStart"/>
      <w:r w:rsidR="00E14C87" w:rsidRPr="0080522F">
        <w:rPr>
          <w:rFonts w:ascii="Times New Roman" w:hAnsi="Times New Roman"/>
          <w:sz w:val="28"/>
          <w:szCs w:val="28"/>
          <w:lang w:val="uk-UA"/>
        </w:rPr>
        <w:t>надасть</w:t>
      </w:r>
      <w:proofErr w:type="spellEnd"/>
      <w:r w:rsidR="00E14C87" w:rsidRPr="008052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E14C87" w:rsidRPr="0080522F">
        <w:rPr>
          <w:rFonts w:ascii="Times New Roman" w:hAnsi="Times New Roman"/>
          <w:sz w:val="28"/>
          <w:szCs w:val="28"/>
          <w:lang w:val="uk-UA"/>
        </w:rPr>
        <w:t>змогу</w:t>
      </w:r>
      <w:r w:rsidR="00AB6806" w:rsidRPr="0080522F">
        <w:rPr>
          <w:rFonts w:ascii="Times New Roman" w:hAnsi="Times New Roman"/>
          <w:sz w:val="28"/>
          <w:szCs w:val="28"/>
          <w:lang w:val="uk-UA"/>
        </w:rPr>
        <w:t xml:space="preserve">  спрямувати</w:t>
      </w:r>
      <w:proofErr w:type="gramEnd"/>
      <w:r w:rsidR="00AB6806" w:rsidRPr="0080522F">
        <w:rPr>
          <w:rFonts w:ascii="Times New Roman" w:hAnsi="Times New Roman"/>
          <w:sz w:val="28"/>
          <w:szCs w:val="28"/>
          <w:lang w:val="uk-UA"/>
        </w:rPr>
        <w:t xml:space="preserve"> отримані кошти від сплати податку на вирішення соціальних проблем територіальної громади та покращення інфраструктури </w:t>
      </w:r>
      <w:r w:rsidR="0080522F">
        <w:rPr>
          <w:rFonts w:ascii="Times New Roman" w:hAnsi="Times New Roman"/>
          <w:sz w:val="28"/>
          <w:szCs w:val="28"/>
          <w:lang w:val="uk-UA"/>
        </w:rPr>
        <w:t>громади</w:t>
      </w:r>
      <w:r w:rsidR="00AB6806" w:rsidRPr="0080522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55B45" w:rsidRPr="0080522F" w:rsidRDefault="00BC1F30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0522F">
        <w:rPr>
          <w:sz w:val="28"/>
          <w:szCs w:val="28"/>
          <w:lang w:val="uk-UA"/>
        </w:rPr>
        <w:t xml:space="preserve">         </w:t>
      </w:r>
      <w:r w:rsidR="000B00A0" w:rsidRPr="0080522F">
        <w:rPr>
          <w:sz w:val="28"/>
          <w:szCs w:val="28"/>
          <w:lang w:val="uk-UA"/>
        </w:rPr>
        <w:t xml:space="preserve">За даними </w:t>
      </w:r>
      <w:r w:rsidR="0080522F">
        <w:rPr>
          <w:sz w:val="28"/>
          <w:szCs w:val="28"/>
          <w:lang w:val="uk-UA"/>
        </w:rPr>
        <w:t>аналізу</w:t>
      </w:r>
      <w:r w:rsidR="000B00A0" w:rsidRPr="0080522F">
        <w:rPr>
          <w:sz w:val="28"/>
          <w:szCs w:val="28"/>
          <w:lang w:val="uk-UA"/>
        </w:rPr>
        <w:t xml:space="preserve"> </w:t>
      </w:r>
      <w:r w:rsidR="00604D29" w:rsidRPr="0080522F">
        <w:rPr>
          <w:sz w:val="28"/>
          <w:szCs w:val="28"/>
          <w:lang w:val="uk-UA"/>
        </w:rPr>
        <w:t>виконання дохідної частини бюджету</w:t>
      </w:r>
      <w:r w:rsidR="00096AF5">
        <w:rPr>
          <w:sz w:val="28"/>
          <w:szCs w:val="28"/>
          <w:lang w:val="uk-UA"/>
        </w:rPr>
        <w:t xml:space="preserve"> за 2018 рік</w:t>
      </w:r>
      <w:r w:rsidR="000B00A0" w:rsidRPr="0080522F">
        <w:rPr>
          <w:sz w:val="28"/>
          <w:szCs w:val="28"/>
          <w:lang w:val="uk-UA"/>
        </w:rPr>
        <w:t>, п</w:t>
      </w:r>
      <w:r w:rsidRPr="0080522F">
        <w:rPr>
          <w:sz w:val="28"/>
          <w:szCs w:val="28"/>
          <w:lang w:val="uk-UA"/>
        </w:rPr>
        <w:t>латники єдиного податку І–ІІ груп, для яких ставки регулюються  рішенням</w:t>
      </w:r>
      <w:r w:rsidR="000B00A0" w:rsidRPr="0080522F">
        <w:rPr>
          <w:sz w:val="28"/>
          <w:szCs w:val="28"/>
          <w:lang w:val="uk-UA"/>
        </w:rPr>
        <w:t xml:space="preserve"> </w:t>
      </w:r>
      <w:r w:rsidR="0080522F">
        <w:rPr>
          <w:sz w:val="28"/>
          <w:szCs w:val="28"/>
          <w:lang w:val="uk-UA"/>
        </w:rPr>
        <w:t>сільської</w:t>
      </w:r>
      <w:r w:rsidR="000B00A0" w:rsidRPr="0080522F">
        <w:rPr>
          <w:sz w:val="28"/>
          <w:szCs w:val="28"/>
          <w:lang w:val="uk-UA"/>
        </w:rPr>
        <w:t xml:space="preserve"> ради</w:t>
      </w:r>
      <w:r w:rsidRPr="0080522F">
        <w:rPr>
          <w:sz w:val="28"/>
          <w:szCs w:val="28"/>
          <w:lang w:val="uk-UA"/>
        </w:rPr>
        <w:t>, сплачують до бюджету</w:t>
      </w:r>
      <w:r w:rsidR="0080522F">
        <w:rPr>
          <w:sz w:val="28"/>
          <w:szCs w:val="28"/>
          <w:lang w:val="uk-UA"/>
        </w:rPr>
        <w:t xml:space="preserve"> об’єднаної територіальної громади</w:t>
      </w:r>
      <w:r w:rsidR="00096AF5">
        <w:rPr>
          <w:sz w:val="28"/>
          <w:szCs w:val="28"/>
          <w:lang w:val="uk-UA"/>
        </w:rPr>
        <w:t xml:space="preserve"> близько 370000 грн.</w:t>
      </w:r>
    </w:p>
    <w:p w:rsidR="001844CE" w:rsidRDefault="001844CE" w:rsidP="001844C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F01E3E" w:rsidRPr="00096AF5" w:rsidRDefault="00F01E3E" w:rsidP="001844CE">
      <w:pPr>
        <w:pStyle w:val="a3"/>
        <w:spacing w:before="0" w:beforeAutospacing="0" w:after="0" w:afterAutospacing="0"/>
        <w:jc w:val="center"/>
        <w:rPr>
          <w:lang w:val="uk-UA"/>
        </w:rPr>
      </w:pPr>
      <w:r w:rsidRPr="00096AF5">
        <w:rPr>
          <w:color w:val="000000"/>
          <w:sz w:val="28"/>
          <w:szCs w:val="28"/>
          <w:lang w:val="uk-UA"/>
        </w:rPr>
        <w:t>Основні групи, на які зазначена проблема справляє вплив: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9"/>
        <w:gridCol w:w="2701"/>
        <w:gridCol w:w="2448"/>
      </w:tblGrid>
      <w:tr w:rsidR="00255B45" w:rsidRPr="00487337" w:rsidTr="00255B45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487337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87337">
              <w:rPr>
                <w:lang w:val="uk-UA"/>
              </w:rPr>
              <w:t>Групи (підгрупи)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487337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87337">
              <w:rPr>
                <w:lang w:val="uk-UA"/>
              </w:rPr>
              <w:t>Так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487337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87337">
              <w:rPr>
                <w:lang w:val="uk-UA"/>
              </w:rPr>
              <w:t>Ні</w:t>
            </w:r>
          </w:p>
        </w:tc>
      </w:tr>
      <w:tr w:rsidR="00255B45" w:rsidRPr="00487337" w:rsidTr="00255B45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096AF5" w:rsidRDefault="00255B45" w:rsidP="001844C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96AF5">
              <w:rPr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096AF5" w:rsidRDefault="00C743FB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096AF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096AF5" w:rsidRDefault="00255B45" w:rsidP="001844C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96AF5">
              <w:rPr>
                <w:sz w:val="28"/>
                <w:szCs w:val="28"/>
                <w:lang w:val="uk-UA"/>
              </w:rPr>
              <w:t> </w:t>
            </w:r>
          </w:p>
        </w:tc>
      </w:tr>
      <w:tr w:rsidR="00255B45" w:rsidRPr="00487337" w:rsidTr="00255B45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096AF5" w:rsidRDefault="00255B45" w:rsidP="001844C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96AF5">
              <w:rPr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096AF5" w:rsidRDefault="00C743FB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096AF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096AF5" w:rsidRDefault="00255B45" w:rsidP="001844C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96AF5">
              <w:rPr>
                <w:sz w:val="28"/>
                <w:szCs w:val="28"/>
                <w:lang w:val="uk-UA"/>
              </w:rPr>
              <w:t> </w:t>
            </w:r>
          </w:p>
        </w:tc>
      </w:tr>
      <w:tr w:rsidR="00255B45" w:rsidRPr="00487337" w:rsidTr="00255B45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096AF5" w:rsidRDefault="00255B45" w:rsidP="001844C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96AF5">
              <w:rPr>
                <w:sz w:val="28"/>
                <w:szCs w:val="28"/>
                <w:lang w:val="uk-UA"/>
              </w:rPr>
              <w:t>Суб'єкти господарювання,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096AF5" w:rsidRDefault="00C743FB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096AF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096AF5" w:rsidRDefault="00255B45" w:rsidP="001844C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96AF5">
              <w:rPr>
                <w:sz w:val="28"/>
                <w:szCs w:val="28"/>
                <w:lang w:val="uk-UA"/>
              </w:rPr>
              <w:t> </w:t>
            </w:r>
          </w:p>
        </w:tc>
      </w:tr>
      <w:tr w:rsidR="00255B45" w:rsidRPr="00487337" w:rsidTr="00255B45">
        <w:trPr>
          <w:tblCellSpacing w:w="22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096AF5" w:rsidRDefault="00255B45" w:rsidP="001844C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96AF5">
              <w:rPr>
                <w:sz w:val="28"/>
                <w:szCs w:val="28"/>
                <w:lang w:val="uk-UA"/>
              </w:rPr>
              <w:t>у тому числі суб'єкти малого підприємництва*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096AF5" w:rsidRDefault="00C743FB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96AF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096AF5" w:rsidRDefault="00255B45" w:rsidP="001844C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96AF5">
              <w:rPr>
                <w:sz w:val="28"/>
                <w:szCs w:val="28"/>
                <w:lang w:val="uk-UA"/>
              </w:rPr>
              <w:t> </w:t>
            </w:r>
          </w:p>
        </w:tc>
      </w:tr>
    </w:tbl>
    <w:p w:rsidR="001844CE" w:rsidRDefault="00660DF4" w:rsidP="001844CE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        </w:t>
      </w:r>
      <w:r w:rsidR="00474B57" w:rsidRPr="00BF29A1">
        <w:rPr>
          <w:b w:val="0"/>
          <w:sz w:val="24"/>
          <w:szCs w:val="24"/>
          <w:lang w:val="uk-UA"/>
        </w:rPr>
        <w:t xml:space="preserve"> </w:t>
      </w:r>
    </w:p>
    <w:p w:rsidR="00660DF4" w:rsidRPr="00096AF5" w:rsidRDefault="00474B57" w:rsidP="001844CE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096AF5">
        <w:rPr>
          <w:b w:val="0"/>
          <w:sz w:val="28"/>
          <w:szCs w:val="28"/>
          <w:lang w:val="uk-UA"/>
        </w:rPr>
        <w:t>З метою безумовного вико</w:t>
      </w:r>
      <w:r w:rsidR="007262C3" w:rsidRPr="00096AF5">
        <w:rPr>
          <w:b w:val="0"/>
          <w:sz w:val="28"/>
          <w:szCs w:val="28"/>
          <w:lang w:val="uk-UA"/>
        </w:rPr>
        <w:t>нання</w:t>
      </w:r>
      <w:r w:rsidRPr="00096AF5">
        <w:rPr>
          <w:b w:val="0"/>
          <w:sz w:val="28"/>
          <w:szCs w:val="28"/>
          <w:lang w:val="uk-UA"/>
        </w:rPr>
        <w:t xml:space="preserve"> вимог Податкового кодексу України та недопущення суперечливих ситуацій, а також з метою вирішення проблеми щодо врегулювання питань справляння місцевих податків і зборів в межах </w:t>
      </w:r>
      <w:r w:rsidR="00096AF5">
        <w:rPr>
          <w:b w:val="0"/>
          <w:sz w:val="28"/>
          <w:szCs w:val="28"/>
          <w:lang w:val="uk-UA"/>
        </w:rPr>
        <w:t>Степанківської об’єднаної територіальної громади</w:t>
      </w:r>
      <w:r w:rsidRPr="00096AF5">
        <w:rPr>
          <w:b w:val="0"/>
          <w:sz w:val="28"/>
          <w:szCs w:val="28"/>
          <w:lang w:val="uk-UA"/>
        </w:rPr>
        <w:t>, і пропон</w:t>
      </w:r>
      <w:r w:rsidR="00096AF5">
        <w:rPr>
          <w:b w:val="0"/>
          <w:sz w:val="28"/>
          <w:szCs w:val="28"/>
          <w:lang w:val="uk-UA"/>
        </w:rPr>
        <w:t>ується прийняття рішення сільської</w:t>
      </w:r>
      <w:r w:rsidRPr="00096AF5">
        <w:rPr>
          <w:b w:val="0"/>
          <w:sz w:val="28"/>
          <w:szCs w:val="28"/>
          <w:lang w:val="uk-UA"/>
        </w:rPr>
        <w:t xml:space="preserve"> рад</w:t>
      </w:r>
      <w:r w:rsidR="00096AF5">
        <w:rPr>
          <w:b w:val="0"/>
          <w:sz w:val="28"/>
          <w:szCs w:val="28"/>
          <w:lang w:val="uk-UA"/>
        </w:rPr>
        <w:t>и «</w:t>
      </w:r>
      <w:r w:rsidRPr="00096AF5">
        <w:rPr>
          <w:b w:val="0"/>
          <w:sz w:val="28"/>
          <w:szCs w:val="28"/>
          <w:lang w:val="uk-UA"/>
        </w:rPr>
        <w:t xml:space="preserve">Про встановлення </w:t>
      </w:r>
      <w:r w:rsidR="00BD1A21" w:rsidRPr="00096AF5">
        <w:rPr>
          <w:b w:val="0"/>
          <w:sz w:val="28"/>
          <w:szCs w:val="28"/>
          <w:lang w:val="uk-UA"/>
        </w:rPr>
        <w:t>єдиного податку</w:t>
      </w:r>
      <w:r w:rsidR="000F299B" w:rsidRPr="00096AF5">
        <w:rPr>
          <w:b w:val="0"/>
          <w:sz w:val="28"/>
          <w:szCs w:val="28"/>
          <w:lang w:val="uk-UA"/>
        </w:rPr>
        <w:t xml:space="preserve"> </w:t>
      </w:r>
      <w:r w:rsidR="00096AF5">
        <w:rPr>
          <w:b w:val="0"/>
          <w:sz w:val="28"/>
          <w:szCs w:val="28"/>
          <w:lang w:val="uk-UA"/>
        </w:rPr>
        <w:t>та затвердження відповідного Положення на 2020 рік»</w:t>
      </w:r>
      <w:r w:rsidR="00F01E3E" w:rsidRPr="00096AF5">
        <w:rPr>
          <w:b w:val="0"/>
          <w:sz w:val="28"/>
          <w:szCs w:val="28"/>
          <w:lang w:val="uk-UA"/>
        </w:rPr>
        <w:t>, так як проблема встановлення ставок не може бути розв’язана ринковими механізмами</w:t>
      </w:r>
      <w:r w:rsidRPr="00096AF5">
        <w:rPr>
          <w:b w:val="0"/>
          <w:sz w:val="28"/>
          <w:szCs w:val="28"/>
          <w:lang w:val="uk-UA"/>
        </w:rPr>
        <w:t>.</w:t>
      </w:r>
      <w:r w:rsidR="00660DF4" w:rsidRPr="00096AF5">
        <w:rPr>
          <w:b w:val="0"/>
          <w:sz w:val="28"/>
          <w:szCs w:val="28"/>
          <w:lang w:val="uk-UA"/>
        </w:rPr>
        <w:t xml:space="preserve"> </w:t>
      </w:r>
    </w:p>
    <w:p w:rsidR="001844CE" w:rsidRDefault="001844CE" w:rsidP="001844CE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255B45" w:rsidRPr="00096AF5" w:rsidRDefault="00255B45" w:rsidP="001844CE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87337">
        <w:rPr>
          <w:lang w:val="uk-UA"/>
        </w:rPr>
        <w:lastRenderedPageBreak/>
        <w:t xml:space="preserve">II. </w:t>
      </w:r>
      <w:r w:rsidRPr="00096AF5">
        <w:rPr>
          <w:sz w:val="28"/>
          <w:szCs w:val="28"/>
          <w:lang w:val="uk-UA"/>
        </w:rPr>
        <w:t>Цілі державного регулювання</w:t>
      </w:r>
    </w:p>
    <w:p w:rsidR="00C743FB" w:rsidRPr="00096AF5" w:rsidRDefault="00C743FB" w:rsidP="001844CE">
      <w:pPr>
        <w:spacing w:after="0" w:line="240" w:lineRule="auto"/>
        <w:ind w:firstLine="708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  <w:r w:rsidRPr="00096AF5">
        <w:rPr>
          <w:rStyle w:val="2"/>
          <w:rFonts w:ascii="Times New Roman" w:hAnsi="Times New Roman"/>
          <w:sz w:val="28"/>
          <w:szCs w:val="28"/>
          <w:lang w:val="uk-UA"/>
        </w:rPr>
        <w:t>Проект рішення розроблено з ціллю:</w:t>
      </w:r>
    </w:p>
    <w:p w:rsidR="00C743FB" w:rsidRPr="00096AF5" w:rsidRDefault="00096AF5" w:rsidP="001844CE">
      <w:pPr>
        <w:spacing w:after="0" w:line="240" w:lineRule="auto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  <w:r>
        <w:rPr>
          <w:rStyle w:val="2"/>
          <w:rFonts w:ascii="Times New Roman" w:hAnsi="Times New Roman"/>
          <w:sz w:val="28"/>
          <w:szCs w:val="28"/>
          <w:lang w:val="uk-UA"/>
        </w:rPr>
        <w:t xml:space="preserve">-  </w:t>
      </w:r>
      <w:r w:rsidR="00C743FB" w:rsidRPr="00096AF5">
        <w:rPr>
          <w:rStyle w:val="2"/>
          <w:rFonts w:ascii="Times New Roman" w:hAnsi="Times New Roman"/>
          <w:sz w:val="28"/>
          <w:szCs w:val="28"/>
          <w:lang w:val="uk-UA"/>
        </w:rPr>
        <w:t xml:space="preserve">Виконання вимог чинного законодавства. </w:t>
      </w:r>
    </w:p>
    <w:p w:rsidR="00C743FB" w:rsidRPr="00096AF5" w:rsidRDefault="00096AF5" w:rsidP="001844CE">
      <w:pPr>
        <w:spacing w:after="0" w:line="240" w:lineRule="auto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  <w:r>
        <w:rPr>
          <w:rStyle w:val="2"/>
          <w:rFonts w:ascii="Times New Roman" w:hAnsi="Times New Roman"/>
          <w:sz w:val="28"/>
          <w:szCs w:val="28"/>
          <w:lang w:val="uk-UA"/>
        </w:rPr>
        <w:t xml:space="preserve">- </w:t>
      </w:r>
      <w:r w:rsidR="00C743FB" w:rsidRPr="00096AF5">
        <w:rPr>
          <w:rStyle w:val="2"/>
          <w:rFonts w:ascii="Times New Roman" w:hAnsi="Times New Roman"/>
          <w:sz w:val="28"/>
          <w:szCs w:val="28"/>
          <w:lang w:val="uk-UA"/>
        </w:rPr>
        <w:t xml:space="preserve">Врегулювання правовідносин між </w:t>
      </w:r>
      <w:r>
        <w:rPr>
          <w:rStyle w:val="2"/>
          <w:rFonts w:ascii="Times New Roman" w:hAnsi="Times New Roman"/>
          <w:sz w:val="28"/>
          <w:szCs w:val="28"/>
          <w:lang w:val="uk-UA"/>
        </w:rPr>
        <w:t>Степанківської сільською</w:t>
      </w:r>
      <w:r w:rsidR="00C743FB" w:rsidRPr="00096AF5">
        <w:rPr>
          <w:rStyle w:val="2"/>
          <w:rFonts w:ascii="Times New Roman" w:hAnsi="Times New Roman"/>
          <w:sz w:val="28"/>
          <w:szCs w:val="28"/>
          <w:lang w:val="uk-UA"/>
        </w:rPr>
        <w:t xml:space="preserve"> радо</w:t>
      </w:r>
      <w:r w:rsidR="00452834" w:rsidRPr="00096AF5">
        <w:rPr>
          <w:rStyle w:val="2"/>
          <w:rFonts w:ascii="Times New Roman" w:hAnsi="Times New Roman"/>
          <w:sz w:val="28"/>
          <w:szCs w:val="28"/>
          <w:lang w:val="uk-UA"/>
        </w:rPr>
        <w:t xml:space="preserve">ю та суб’єктами господарювання </w:t>
      </w:r>
      <w:r w:rsidR="00066F48" w:rsidRPr="00096AF5">
        <w:rPr>
          <w:rStyle w:val="2"/>
          <w:rFonts w:ascii="Times New Roman" w:hAnsi="Times New Roman"/>
          <w:sz w:val="28"/>
          <w:szCs w:val="28"/>
          <w:lang w:val="uk-UA"/>
        </w:rPr>
        <w:t>в</w:t>
      </w:r>
      <w:r w:rsidR="00452834" w:rsidRPr="00096AF5">
        <w:rPr>
          <w:rStyle w:val="2"/>
          <w:rFonts w:ascii="Times New Roman" w:hAnsi="Times New Roman"/>
          <w:sz w:val="28"/>
          <w:szCs w:val="28"/>
          <w:lang w:val="uk-UA"/>
        </w:rPr>
        <w:t xml:space="preserve"> процесі нарахування та сплати єдиного податку.</w:t>
      </w:r>
    </w:p>
    <w:p w:rsidR="00C743FB" w:rsidRPr="00096AF5" w:rsidRDefault="00096AF5" w:rsidP="001844CE">
      <w:pPr>
        <w:spacing w:after="0" w:line="240" w:lineRule="auto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  <w:r>
        <w:rPr>
          <w:rStyle w:val="2"/>
          <w:rFonts w:ascii="Times New Roman" w:hAnsi="Times New Roman"/>
          <w:sz w:val="28"/>
          <w:szCs w:val="28"/>
          <w:lang w:val="uk-UA"/>
        </w:rPr>
        <w:t xml:space="preserve">- </w:t>
      </w:r>
      <w:r w:rsidR="00C743FB" w:rsidRPr="00096AF5">
        <w:rPr>
          <w:rStyle w:val="2"/>
          <w:rFonts w:ascii="Times New Roman" w:hAnsi="Times New Roman"/>
          <w:sz w:val="28"/>
          <w:szCs w:val="28"/>
          <w:lang w:val="uk-UA"/>
        </w:rPr>
        <w:t>Встановлення ставок</w:t>
      </w:r>
      <w:r w:rsidR="00452834" w:rsidRPr="00096AF5">
        <w:rPr>
          <w:rStyle w:val="2"/>
          <w:rFonts w:ascii="Times New Roman" w:hAnsi="Times New Roman"/>
          <w:sz w:val="28"/>
          <w:szCs w:val="28"/>
          <w:lang w:val="uk-UA"/>
        </w:rPr>
        <w:t xml:space="preserve"> єдиного податку</w:t>
      </w:r>
      <w:r w:rsidR="00C743FB" w:rsidRPr="00096AF5">
        <w:rPr>
          <w:rStyle w:val="2"/>
          <w:rFonts w:ascii="Times New Roman" w:hAnsi="Times New Roman"/>
          <w:sz w:val="28"/>
          <w:szCs w:val="28"/>
          <w:lang w:val="uk-UA"/>
        </w:rPr>
        <w:t xml:space="preserve">, які б дозволили </w:t>
      </w:r>
      <w:r w:rsidR="00452834" w:rsidRPr="00096AF5">
        <w:rPr>
          <w:rStyle w:val="2"/>
          <w:rFonts w:ascii="Times New Roman" w:hAnsi="Times New Roman"/>
          <w:sz w:val="28"/>
          <w:szCs w:val="28"/>
          <w:lang w:val="uk-UA"/>
        </w:rPr>
        <w:t xml:space="preserve">забезпечити сталі </w:t>
      </w:r>
      <w:r>
        <w:rPr>
          <w:rStyle w:val="2"/>
          <w:rFonts w:ascii="Times New Roman" w:hAnsi="Times New Roman"/>
          <w:sz w:val="28"/>
          <w:szCs w:val="28"/>
          <w:lang w:val="uk-UA"/>
        </w:rPr>
        <w:t>надходження до сільського</w:t>
      </w:r>
      <w:r w:rsidR="00C743FB" w:rsidRPr="00096AF5">
        <w:rPr>
          <w:rStyle w:val="2"/>
          <w:rFonts w:ascii="Times New Roman" w:hAnsi="Times New Roman"/>
          <w:sz w:val="28"/>
          <w:szCs w:val="28"/>
          <w:lang w:val="uk-UA"/>
        </w:rPr>
        <w:t xml:space="preserve"> бюджету для виконання програм соціаль</w:t>
      </w:r>
      <w:r>
        <w:rPr>
          <w:rStyle w:val="2"/>
          <w:rFonts w:ascii="Times New Roman" w:hAnsi="Times New Roman"/>
          <w:sz w:val="28"/>
          <w:szCs w:val="28"/>
          <w:lang w:val="uk-UA"/>
        </w:rPr>
        <w:t>но – економічного розвитку громади, тощо</w:t>
      </w:r>
      <w:r w:rsidR="00C743FB" w:rsidRPr="00096AF5">
        <w:rPr>
          <w:rStyle w:val="2"/>
          <w:rFonts w:ascii="Times New Roman" w:hAnsi="Times New Roman"/>
          <w:sz w:val="28"/>
          <w:szCs w:val="28"/>
          <w:lang w:val="uk-UA"/>
        </w:rPr>
        <w:t xml:space="preserve">. </w:t>
      </w:r>
    </w:p>
    <w:p w:rsidR="00C743FB" w:rsidRPr="00096AF5" w:rsidRDefault="00C743FB" w:rsidP="001844CE">
      <w:pPr>
        <w:spacing w:after="0" w:line="240" w:lineRule="auto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</w:p>
    <w:p w:rsidR="00255B45" w:rsidRPr="00096AF5" w:rsidRDefault="00255B45" w:rsidP="001844CE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87337">
        <w:rPr>
          <w:lang w:val="uk-UA"/>
        </w:rPr>
        <w:t xml:space="preserve">III. </w:t>
      </w:r>
      <w:r w:rsidRPr="00096AF5">
        <w:rPr>
          <w:sz w:val="28"/>
          <w:szCs w:val="28"/>
          <w:lang w:val="uk-UA"/>
        </w:rPr>
        <w:t>Визначення та оцінка альтернативних способів досягнення цілей</w:t>
      </w:r>
    </w:p>
    <w:p w:rsidR="00255B45" w:rsidRPr="00096AF5" w:rsidRDefault="00255B45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96AF5">
        <w:rPr>
          <w:sz w:val="28"/>
          <w:szCs w:val="28"/>
          <w:lang w:val="uk-UA"/>
        </w:rPr>
        <w:t>1. Визначення альтернативних способів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2"/>
        <w:gridCol w:w="5236"/>
      </w:tblGrid>
      <w:tr w:rsidR="00255B45" w:rsidRPr="00096AF5" w:rsidTr="002F4B61">
        <w:trPr>
          <w:tblCellSpacing w:w="22" w:type="dxa"/>
        </w:trPr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096AF5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96AF5">
              <w:rPr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096AF5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96AF5">
              <w:rPr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896578" w:rsidRPr="00096AF5" w:rsidTr="002F4B61">
        <w:trPr>
          <w:trHeight w:val="3098"/>
          <w:tblCellSpacing w:w="22" w:type="dxa"/>
        </w:trPr>
        <w:tc>
          <w:tcPr>
            <w:tcW w:w="21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4B61" w:rsidRDefault="002F4B61" w:rsidP="001844CE">
            <w:pPr>
              <w:pStyle w:val="a3"/>
              <w:spacing w:before="0" w:beforeAutospacing="0" w:after="0" w:afterAutospacing="0"/>
              <w:jc w:val="center"/>
              <w:rPr>
                <w:rStyle w:val="2"/>
                <w:sz w:val="28"/>
                <w:szCs w:val="28"/>
                <w:lang w:val="uk-UA"/>
              </w:rPr>
            </w:pPr>
            <w:r>
              <w:rPr>
                <w:rStyle w:val="2"/>
                <w:sz w:val="28"/>
                <w:szCs w:val="28"/>
                <w:lang w:val="uk-UA"/>
              </w:rPr>
              <w:t>Альтернатива 1</w:t>
            </w:r>
          </w:p>
          <w:p w:rsidR="00896578" w:rsidRPr="00096AF5" w:rsidRDefault="005404D8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96AF5">
              <w:rPr>
                <w:rStyle w:val="2"/>
                <w:sz w:val="28"/>
                <w:szCs w:val="28"/>
                <w:lang w:val="uk-UA"/>
              </w:rPr>
              <w:t xml:space="preserve">Не прийняття регуляторного </w:t>
            </w:r>
            <w:proofErr w:type="spellStart"/>
            <w:r w:rsidRPr="00096AF5">
              <w:rPr>
                <w:rStyle w:val="2"/>
                <w:sz w:val="28"/>
                <w:szCs w:val="28"/>
                <w:lang w:val="uk-UA"/>
              </w:rPr>
              <w:t>акта</w:t>
            </w:r>
            <w:proofErr w:type="spellEnd"/>
            <w:r w:rsidRPr="00096AF5">
              <w:rPr>
                <w:rStyle w:val="2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6578" w:rsidRPr="00096AF5" w:rsidRDefault="00AE1541" w:rsidP="001844CE">
            <w:pPr>
              <w:spacing w:after="0" w:line="240" w:lineRule="auto"/>
              <w:jc w:val="center"/>
              <w:rPr>
                <w:rStyle w:val="2"/>
                <w:sz w:val="28"/>
                <w:szCs w:val="28"/>
                <w:lang w:val="uk-UA"/>
              </w:rPr>
            </w:pPr>
            <w:r w:rsidRPr="00096AF5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По закінченню 201</w:t>
            </w:r>
            <w:r w:rsidR="00F01E3E" w:rsidRPr="00096AF5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5404D8" w:rsidRPr="00096AF5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96578" w:rsidRPr="00096AF5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 xml:space="preserve">року </w:t>
            </w:r>
            <w:r w:rsidR="005404D8" w:rsidRPr="00096AF5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 xml:space="preserve">діюче на території </w:t>
            </w:r>
            <w:r w:rsidR="00096AF5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Степанківської об’єднаної територіальної громади</w:t>
            </w:r>
            <w:r w:rsidR="005404D8" w:rsidRPr="00096AF5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 xml:space="preserve"> рішення про встановлення єдиного податку </w:t>
            </w:r>
            <w:r w:rsidR="00896578" w:rsidRPr="00096AF5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має бути скасовано як таке</w:t>
            </w:r>
            <w:r w:rsidR="005404D8" w:rsidRPr="00096AF5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896578" w:rsidRPr="00096AF5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 xml:space="preserve"> що не пройшло регуляторну процедуру і не по</w:t>
            </w:r>
            <w:r w:rsidR="005404D8" w:rsidRPr="00096AF5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 xml:space="preserve">ширюється на подальші періоди. </w:t>
            </w:r>
            <w:r w:rsidR="00896578" w:rsidRPr="00096AF5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Суб’єкти господарювання залишаться без нормативного акту.</w:t>
            </w:r>
          </w:p>
          <w:p w:rsidR="00896578" w:rsidRPr="00096AF5" w:rsidRDefault="00896578" w:rsidP="001844CE">
            <w:pPr>
              <w:pStyle w:val="a3"/>
              <w:spacing w:before="0" w:beforeAutospacing="0" w:after="0" w:afterAutospacing="0"/>
              <w:jc w:val="center"/>
              <w:rPr>
                <w:rStyle w:val="2"/>
                <w:sz w:val="28"/>
                <w:szCs w:val="28"/>
                <w:lang w:val="uk-UA"/>
              </w:rPr>
            </w:pPr>
            <w:r w:rsidRPr="00096AF5">
              <w:rPr>
                <w:sz w:val="28"/>
                <w:szCs w:val="28"/>
                <w:lang w:val="uk-UA"/>
              </w:rPr>
              <w:t>Відповідно до підпункту 12.3.5 пункту</w:t>
            </w:r>
            <w:r w:rsidR="005404D8" w:rsidRPr="00096AF5">
              <w:rPr>
                <w:sz w:val="28"/>
                <w:szCs w:val="28"/>
                <w:lang w:val="uk-UA"/>
              </w:rPr>
              <w:t xml:space="preserve"> </w:t>
            </w:r>
            <w:r w:rsidRPr="00096AF5">
              <w:rPr>
                <w:sz w:val="28"/>
                <w:szCs w:val="28"/>
                <w:lang w:val="uk-UA"/>
              </w:rPr>
              <w:t xml:space="preserve">12.3 статті 12 Податкового кодексу України  </w:t>
            </w:r>
            <w:r w:rsidR="005404D8" w:rsidRPr="00096AF5">
              <w:rPr>
                <w:sz w:val="28"/>
                <w:szCs w:val="28"/>
                <w:lang w:val="uk-UA"/>
              </w:rPr>
              <w:t>єдиний податок буде справлятись</w:t>
            </w:r>
            <w:r w:rsidRPr="00096AF5">
              <w:rPr>
                <w:sz w:val="28"/>
                <w:szCs w:val="28"/>
                <w:lang w:val="uk-UA"/>
              </w:rPr>
              <w:t xml:space="preserve"> виходячи з норм Кодексу із застосуванням мінімальних ставок податку для с</w:t>
            </w:r>
            <w:r w:rsidRPr="00096AF5">
              <w:rPr>
                <w:rStyle w:val="2"/>
                <w:sz w:val="28"/>
                <w:szCs w:val="28"/>
                <w:lang w:val="uk-UA"/>
              </w:rPr>
              <w:t>уб’єктів господарювання</w:t>
            </w:r>
            <w:r w:rsidR="005404D8" w:rsidRPr="00096AF5">
              <w:rPr>
                <w:rStyle w:val="2"/>
                <w:sz w:val="28"/>
                <w:szCs w:val="28"/>
                <w:lang w:val="uk-UA"/>
              </w:rPr>
              <w:t xml:space="preserve">, які будуть </w:t>
            </w:r>
            <w:r w:rsidR="00EA638B" w:rsidRPr="00096AF5">
              <w:rPr>
                <w:rStyle w:val="2"/>
                <w:sz w:val="28"/>
                <w:szCs w:val="28"/>
                <w:lang w:val="uk-UA"/>
              </w:rPr>
              <w:t>дорівнювати одному відсотку</w:t>
            </w:r>
            <w:r w:rsidR="005404D8" w:rsidRPr="00096AF5">
              <w:rPr>
                <w:rStyle w:val="2"/>
                <w:sz w:val="28"/>
                <w:szCs w:val="28"/>
                <w:lang w:val="uk-UA"/>
              </w:rPr>
              <w:t xml:space="preserve">, </w:t>
            </w:r>
            <w:r w:rsidRPr="00096AF5">
              <w:rPr>
                <w:sz w:val="28"/>
                <w:szCs w:val="28"/>
                <w:lang w:val="uk-UA"/>
              </w:rPr>
              <w:t>що суттєво погіршить надходження до бюджету</w:t>
            </w:r>
            <w:r w:rsidR="00096AF5">
              <w:rPr>
                <w:sz w:val="28"/>
                <w:szCs w:val="28"/>
                <w:lang w:val="uk-UA"/>
              </w:rPr>
              <w:t xml:space="preserve"> об’єднаної територіальної громади у 2020</w:t>
            </w:r>
            <w:r w:rsidR="005404D8" w:rsidRPr="00096AF5">
              <w:rPr>
                <w:sz w:val="28"/>
                <w:szCs w:val="28"/>
                <w:lang w:val="uk-UA"/>
              </w:rPr>
              <w:t xml:space="preserve"> році</w:t>
            </w:r>
            <w:r w:rsidRPr="00096AF5">
              <w:rPr>
                <w:sz w:val="28"/>
                <w:szCs w:val="28"/>
                <w:lang w:val="uk-UA"/>
              </w:rPr>
              <w:t>.</w:t>
            </w:r>
          </w:p>
        </w:tc>
      </w:tr>
      <w:tr w:rsidR="002F4B61" w:rsidRPr="00096AF5" w:rsidTr="002F4B61">
        <w:trPr>
          <w:trHeight w:val="1909"/>
          <w:tblCellSpacing w:w="22" w:type="dxa"/>
        </w:trPr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B61" w:rsidRPr="002F4B61" w:rsidRDefault="002F4B61" w:rsidP="001844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Style w:val="21"/>
                <w:rFonts w:eastAsia="Calibri"/>
              </w:rPr>
              <w:t>Альтернатива 2</w:t>
            </w:r>
          </w:p>
          <w:p w:rsidR="002F4B61" w:rsidRPr="002F4B61" w:rsidRDefault="002F4B61" w:rsidP="001844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Style w:val="21"/>
                <w:rFonts w:eastAsia="Calibri"/>
              </w:rPr>
              <w:t xml:space="preserve">Прийняття запропонованого регуляторного </w:t>
            </w:r>
            <w:proofErr w:type="spellStart"/>
            <w:r>
              <w:rPr>
                <w:rStyle w:val="21"/>
                <w:rFonts w:eastAsia="Calibri"/>
              </w:rPr>
              <w:t>акта</w:t>
            </w:r>
            <w:proofErr w:type="spellEnd"/>
          </w:p>
          <w:p w:rsidR="002F4B61" w:rsidRPr="002F4B61" w:rsidRDefault="002F4B61" w:rsidP="001844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Style w:val="21"/>
                <w:rFonts w:eastAsia="Calibri"/>
              </w:rPr>
              <w:t xml:space="preserve">(Установлення фіксованих ставок єдиного податку для фізичних осіб-підприємців І </w:t>
            </w:r>
            <w:proofErr w:type="spellStart"/>
            <w:r>
              <w:rPr>
                <w:rStyle w:val="21"/>
                <w:rFonts w:eastAsia="Calibri"/>
              </w:rPr>
              <w:t>і</w:t>
            </w:r>
            <w:proofErr w:type="spellEnd"/>
            <w:r>
              <w:rPr>
                <w:rStyle w:val="21"/>
                <w:rFonts w:eastAsia="Calibri"/>
              </w:rPr>
              <w:t xml:space="preserve"> ІІ груп платників єдиного податку у розмірі 10% від прожиткового мінімуму - для І групи і 15% від мінімальної заробітної плати - для ІІ групи (розмір ставок у відсотковому виразі залишається незмінним порівняно з 2019 роком)</w:t>
            </w: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B61" w:rsidRDefault="002F4B61" w:rsidP="001844CE">
            <w:pPr>
              <w:spacing w:after="0" w:line="240" w:lineRule="auto"/>
              <w:jc w:val="center"/>
            </w:pPr>
            <w:r>
              <w:rPr>
                <w:rStyle w:val="21"/>
                <w:rFonts w:eastAsia="Calibri"/>
              </w:rPr>
              <w:t>Забезпечення досягнення цілей державного регулювання.</w:t>
            </w:r>
          </w:p>
          <w:p w:rsidR="002F4B61" w:rsidRDefault="002F4B61" w:rsidP="001844CE">
            <w:pPr>
              <w:spacing w:after="0" w:line="240" w:lineRule="auto"/>
              <w:jc w:val="center"/>
            </w:pPr>
            <w:r>
              <w:rPr>
                <w:rStyle w:val="21"/>
                <w:rFonts w:eastAsia="Calibri"/>
              </w:rPr>
              <w:t>Врахування пропозицій фізичних осіб підприємців.</w:t>
            </w:r>
          </w:p>
          <w:p w:rsidR="002F4B61" w:rsidRDefault="002F4B61" w:rsidP="001844CE">
            <w:pPr>
              <w:spacing w:after="0" w:line="240" w:lineRule="auto"/>
              <w:jc w:val="center"/>
            </w:pPr>
            <w:r>
              <w:rPr>
                <w:rStyle w:val="21"/>
                <w:rFonts w:eastAsia="Calibri"/>
              </w:rPr>
              <w:t>Сталі надходження до бюджету об’єднаної територіальної громади без погіршення умов для розвитку мікробізнесу.</w:t>
            </w:r>
          </w:p>
          <w:p w:rsidR="002F4B61" w:rsidRDefault="002F4B61" w:rsidP="001844CE">
            <w:pPr>
              <w:spacing w:after="0" w:line="240" w:lineRule="auto"/>
              <w:jc w:val="center"/>
            </w:pPr>
            <w:r>
              <w:rPr>
                <w:rStyle w:val="21"/>
                <w:rFonts w:eastAsia="Calibri"/>
              </w:rPr>
              <w:t>Належне фінансування програм соціально- економічного розвитку громади, тощо.</w:t>
            </w:r>
          </w:p>
        </w:tc>
      </w:tr>
    </w:tbl>
    <w:p w:rsidR="001844CE" w:rsidRDefault="001844CE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844CE" w:rsidRDefault="001844CE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55B45" w:rsidRPr="002F4B61" w:rsidRDefault="00255B45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F4B61">
        <w:rPr>
          <w:sz w:val="28"/>
          <w:szCs w:val="28"/>
          <w:lang w:val="uk-UA"/>
        </w:rPr>
        <w:lastRenderedPageBreak/>
        <w:t>2. Оцінка вибраних альтернативних способів досягнення цілей</w:t>
      </w:r>
    </w:p>
    <w:p w:rsidR="00255B45" w:rsidRPr="002F4B61" w:rsidRDefault="00E773CB" w:rsidP="001844C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F4B61">
        <w:rPr>
          <w:sz w:val="28"/>
          <w:szCs w:val="28"/>
          <w:lang w:val="uk-UA"/>
        </w:rPr>
        <w:t>О</w:t>
      </w:r>
      <w:r w:rsidR="00255B45" w:rsidRPr="002F4B61">
        <w:rPr>
          <w:sz w:val="28"/>
          <w:szCs w:val="28"/>
          <w:lang w:val="uk-UA"/>
        </w:rPr>
        <w:t xml:space="preserve">пис </w:t>
      </w:r>
      <w:proofErr w:type="spellStart"/>
      <w:r w:rsidR="00255B45" w:rsidRPr="002F4B61">
        <w:rPr>
          <w:sz w:val="28"/>
          <w:szCs w:val="28"/>
          <w:lang w:val="uk-UA"/>
        </w:rPr>
        <w:t>вигод</w:t>
      </w:r>
      <w:proofErr w:type="spellEnd"/>
      <w:r w:rsidR="00255B45" w:rsidRPr="002F4B61">
        <w:rPr>
          <w:sz w:val="28"/>
          <w:szCs w:val="28"/>
          <w:lang w:val="uk-UA"/>
        </w:rPr>
        <w:t xml:space="preserve"> та витрат за кожною альтернативою для сфер інтересів держави, громадян та суб'єктів господарювання.</w:t>
      </w:r>
    </w:p>
    <w:p w:rsidR="001844CE" w:rsidRDefault="001844CE" w:rsidP="001844C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255B45" w:rsidRPr="001844CE" w:rsidRDefault="00255B45" w:rsidP="001844C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1844CE">
        <w:rPr>
          <w:sz w:val="28"/>
          <w:szCs w:val="28"/>
          <w:lang w:val="uk-UA"/>
        </w:rPr>
        <w:t>Оцінка впливу на сферу інтересів держави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8"/>
        <w:gridCol w:w="2269"/>
        <w:gridCol w:w="4101"/>
      </w:tblGrid>
      <w:tr w:rsidR="00255B45" w:rsidRPr="002F4B61" w:rsidTr="001844CE">
        <w:trPr>
          <w:tblCellSpacing w:w="22" w:type="dxa"/>
        </w:trPr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Витрати</w:t>
            </w:r>
          </w:p>
        </w:tc>
      </w:tr>
      <w:tr w:rsidR="001844CE" w:rsidRPr="002F4B61" w:rsidTr="001844CE">
        <w:trPr>
          <w:trHeight w:val="292"/>
          <w:tblCellSpacing w:w="22" w:type="dxa"/>
        </w:trPr>
        <w:tc>
          <w:tcPr>
            <w:tcW w:w="15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44CE" w:rsidRDefault="001844CE" w:rsidP="001844CE">
            <w:pPr>
              <w:pStyle w:val="a3"/>
              <w:spacing w:before="0" w:beforeAutospacing="0" w:after="0" w:afterAutospacing="0"/>
              <w:jc w:val="center"/>
              <w:rPr>
                <w:rStyle w:val="2"/>
                <w:sz w:val="28"/>
                <w:szCs w:val="28"/>
                <w:lang w:val="uk-UA"/>
              </w:rPr>
            </w:pPr>
            <w:r>
              <w:rPr>
                <w:rStyle w:val="2"/>
                <w:sz w:val="28"/>
                <w:szCs w:val="28"/>
                <w:lang w:val="uk-UA"/>
              </w:rPr>
              <w:t>Альтернатива 1</w:t>
            </w:r>
          </w:p>
          <w:p w:rsidR="001844CE" w:rsidRPr="00096AF5" w:rsidRDefault="001844CE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96AF5">
              <w:rPr>
                <w:rStyle w:val="2"/>
                <w:sz w:val="28"/>
                <w:szCs w:val="28"/>
                <w:lang w:val="uk-UA"/>
              </w:rPr>
              <w:t xml:space="preserve">Не прийняття регуляторного </w:t>
            </w:r>
            <w:proofErr w:type="spellStart"/>
            <w:r w:rsidRPr="00096AF5">
              <w:rPr>
                <w:rStyle w:val="2"/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44CE" w:rsidRPr="002F4B61" w:rsidRDefault="001844CE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44CE" w:rsidRPr="002F4B61" w:rsidRDefault="001844CE" w:rsidP="001844CE">
            <w:pPr>
              <w:pStyle w:val="a3"/>
              <w:spacing w:before="0" w:beforeAutospacing="0" w:after="0" w:afterAutospacing="0"/>
              <w:jc w:val="center"/>
              <w:rPr>
                <w:rStyle w:val="2"/>
                <w:sz w:val="28"/>
                <w:szCs w:val="28"/>
                <w:lang w:val="uk-UA"/>
              </w:rPr>
            </w:pPr>
            <w:r w:rsidRPr="002F4B61">
              <w:rPr>
                <w:rStyle w:val="2"/>
                <w:sz w:val="28"/>
                <w:szCs w:val="28"/>
                <w:lang w:val="uk-UA"/>
              </w:rPr>
              <w:t>По закінченню 2019 року рішення</w:t>
            </w:r>
            <w:r w:rsidRPr="002F4B61">
              <w:rPr>
                <w:sz w:val="28"/>
                <w:szCs w:val="28"/>
                <w:lang w:val="uk-UA"/>
              </w:rPr>
              <w:t xml:space="preserve"> </w:t>
            </w:r>
            <w:r w:rsidRPr="002F4B61">
              <w:rPr>
                <w:rStyle w:val="2"/>
                <w:sz w:val="28"/>
                <w:szCs w:val="28"/>
                <w:lang w:val="uk-UA"/>
              </w:rPr>
              <w:t>про встановлення єдиного податку має бути скасовано як таке, що не пройшло регуляторну процедуру і не поширюється на подальші періоди.</w:t>
            </w:r>
          </w:p>
          <w:p w:rsidR="001844CE" w:rsidRPr="002F4B61" w:rsidRDefault="001844CE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Відповідно до підпункту 12.3.5 пункту 12.3 статті 12 Податкового кодексу України  єдиний податок буде справлятись виходячи з норм Кодексу із застосуванням мінімальних ставок податку для с</w:t>
            </w:r>
            <w:r w:rsidRPr="002F4B61">
              <w:rPr>
                <w:rStyle w:val="2"/>
                <w:sz w:val="28"/>
                <w:szCs w:val="28"/>
                <w:lang w:val="uk-UA"/>
              </w:rPr>
              <w:t xml:space="preserve">уб’єктів господарювання, які будуть дорівнювати одному відсотку, </w:t>
            </w:r>
            <w:r w:rsidRPr="002F4B61">
              <w:rPr>
                <w:sz w:val="28"/>
                <w:szCs w:val="28"/>
                <w:lang w:val="uk-UA"/>
              </w:rPr>
              <w:t>що суттєво по</w:t>
            </w:r>
            <w:r>
              <w:rPr>
                <w:sz w:val="28"/>
                <w:szCs w:val="28"/>
                <w:lang w:val="uk-UA"/>
              </w:rPr>
              <w:t>гіршить надходження до</w:t>
            </w:r>
            <w:r w:rsidRPr="002F4B61">
              <w:rPr>
                <w:sz w:val="28"/>
                <w:szCs w:val="28"/>
                <w:lang w:val="uk-UA"/>
              </w:rPr>
              <w:t xml:space="preserve"> бюджету</w:t>
            </w:r>
            <w:r>
              <w:rPr>
                <w:sz w:val="28"/>
                <w:szCs w:val="28"/>
                <w:lang w:val="uk-UA"/>
              </w:rPr>
              <w:t xml:space="preserve"> об’єднаної територіальної громади</w:t>
            </w:r>
            <w:r w:rsidRPr="002F4B61">
              <w:rPr>
                <w:sz w:val="28"/>
                <w:szCs w:val="28"/>
                <w:lang w:val="uk-UA"/>
              </w:rPr>
              <w:t xml:space="preserve"> у 2020 році.</w:t>
            </w:r>
          </w:p>
        </w:tc>
      </w:tr>
      <w:tr w:rsidR="001844CE" w:rsidRPr="002F4B61" w:rsidTr="001844CE">
        <w:trPr>
          <w:trHeight w:val="642"/>
          <w:tblCellSpacing w:w="22" w:type="dxa"/>
        </w:trPr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4CE" w:rsidRPr="002F4B61" w:rsidRDefault="001844CE" w:rsidP="001844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Style w:val="21"/>
                <w:rFonts w:eastAsia="Calibri"/>
              </w:rPr>
              <w:t>Альтернатива 2</w:t>
            </w:r>
          </w:p>
          <w:p w:rsidR="001844CE" w:rsidRPr="002F4B61" w:rsidRDefault="001844CE" w:rsidP="001844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Style w:val="21"/>
                <w:rFonts w:eastAsia="Calibri"/>
              </w:rPr>
              <w:t xml:space="preserve">Прийняття запропонованого регуляторного </w:t>
            </w:r>
            <w:proofErr w:type="spellStart"/>
            <w:r>
              <w:rPr>
                <w:rStyle w:val="21"/>
                <w:rFonts w:eastAsia="Calibri"/>
              </w:rPr>
              <w:t>акта</w:t>
            </w:r>
            <w:proofErr w:type="spellEnd"/>
          </w:p>
          <w:p w:rsidR="001844CE" w:rsidRPr="002F4B61" w:rsidRDefault="001844CE" w:rsidP="001844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Style w:val="21"/>
                <w:rFonts w:eastAsia="Calibri"/>
              </w:rPr>
              <w:t xml:space="preserve">(Установлення фіксованих ставок єдиного податку для фізичних осіб-підприємців І </w:t>
            </w:r>
            <w:proofErr w:type="spellStart"/>
            <w:r>
              <w:rPr>
                <w:rStyle w:val="21"/>
                <w:rFonts w:eastAsia="Calibri"/>
              </w:rPr>
              <w:t>і</w:t>
            </w:r>
            <w:proofErr w:type="spellEnd"/>
            <w:r>
              <w:rPr>
                <w:rStyle w:val="21"/>
                <w:rFonts w:eastAsia="Calibri"/>
              </w:rPr>
              <w:t xml:space="preserve"> ІІ груп платників єдиного податку у розмірі 10% від прожиткового мінімуму - для І групи і 15% від мінімальної заробітної плати - для ІІ групи (розмір ставок у відсотковому виразі залишається незмінним порівняно з 2019 роком)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4CE" w:rsidRPr="002F4B61" w:rsidRDefault="001844CE" w:rsidP="001844CE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</w:pPr>
            <w:r w:rsidRPr="002F4B6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 xml:space="preserve">Забезпечує досягнення цілей державного регулювання, сталість надходжень до бюджету </w:t>
            </w:r>
            <w:r w:rsidRPr="002F4B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 погіршення умов для розвитку мікробізнесу, а також належне фінансування програм соціально-економічного розвитку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громади</w:t>
            </w:r>
            <w:r w:rsidRPr="002F4B6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844CE" w:rsidRPr="002F4B61" w:rsidRDefault="001844CE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4CE" w:rsidRPr="002F4B61" w:rsidRDefault="001844CE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Відсутні</w:t>
            </w:r>
          </w:p>
        </w:tc>
      </w:tr>
    </w:tbl>
    <w:p w:rsidR="001844CE" w:rsidRDefault="001844CE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55B45" w:rsidRPr="002F4B61" w:rsidRDefault="00255B45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F4B61">
        <w:rPr>
          <w:sz w:val="28"/>
          <w:szCs w:val="28"/>
          <w:lang w:val="uk-UA"/>
        </w:rPr>
        <w:lastRenderedPageBreak/>
        <w:t>Оцінка впливу на сферу інтересів громадян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0"/>
        <w:gridCol w:w="3068"/>
        <w:gridCol w:w="3090"/>
      </w:tblGrid>
      <w:tr w:rsidR="00255B45" w:rsidRPr="002F4B61" w:rsidTr="001844CE">
        <w:trPr>
          <w:tblCellSpacing w:w="22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Витрати</w:t>
            </w:r>
          </w:p>
        </w:tc>
      </w:tr>
      <w:tr w:rsidR="001844CE" w:rsidRPr="002F4B61" w:rsidTr="001844CE">
        <w:trPr>
          <w:trHeight w:val="1111"/>
          <w:tblCellSpacing w:w="22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44CE" w:rsidRDefault="001844CE" w:rsidP="001844CE">
            <w:pPr>
              <w:pStyle w:val="a3"/>
              <w:spacing w:before="0" w:beforeAutospacing="0" w:after="0" w:afterAutospacing="0"/>
              <w:jc w:val="center"/>
              <w:rPr>
                <w:rStyle w:val="2"/>
                <w:sz w:val="28"/>
                <w:szCs w:val="28"/>
                <w:lang w:val="uk-UA"/>
              </w:rPr>
            </w:pPr>
            <w:r>
              <w:rPr>
                <w:rStyle w:val="2"/>
                <w:sz w:val="28"/>
                <w:szCs w:val="28"/>
                <w:lang w:val="uk-UA"/>
              </w:rPr>
              <w:t>Альтернатива 1</w:t>
            </w:r>
          </w:p>
          <w:p w:rsidR="001844CE" w:rsidRPr="00096AF5" w:rsidRDefault="001844CE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96AF5">
              <w:rPr>
                <w:rStyle w:val="2"/>
                <w:sz w:val="28"/>
                <w:szCs w:val="28"/>
                <w:lang w:val="uk-UA"/>
              </w:rPr>
              <w:t xml:space="preserve">Не прийняття регуляторного </w:t>
            </w:r>
            <w:proofErr w:type="spellStart"/>
            <w:r w:rsidRPr="00096AF5">
              <w:rPr>
                <w:rStyle w:val="2"/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44CE" w:rsidRPr="002F4B61" w:rsidRDefault="001844CE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/>
              </w:rPr>
              <w:t>Можливе незначне зменшення споживчих цін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44CE" w:rsidRPr="002F4B61" w:rsidRDefault="001844CE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Відсутні</w:t>
            </w:r>
          </w:p>
        </w:tc>
      </w:tr>
      <w:tr w:rsidR="001844CE" w:rsidRPr="002F4B61" w:rsidTr="001844CE">
        <w:trPr>
          <w:tblCellSpacing w:w="22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44CE" w:rsidRPr="002F4B61" w:rsidRDefault="001844CE" w:rsidP="001844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Style w:val="21"/>
                <w:rFonts w:eastAsia="Calibri"/>
              </w:rPr>
              <w:t>Альтернатива 2</w:t>
            </w:r>
          </w:p>
          <w:p w:rsidR="001844CE" w:rsidRPr="002F4B61" w:rsidRDefault="001844CE" w:rsidP="001844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Style w:val="21"/>
                <w:rFonts w:eastAsia="Calibri"/>
              </w:rPr>
              <w:t xml:space="preserve">Прийняття запропонованого регуляторного </w:t>
            </w:r>
            <w:proofErr w:type="spellStart"/>
            <w:r>
              <w:rPr>
                <w:rStyle w:val="21"/>
                <w:rFonts w:eastAsia="Calibri"/>
              </w:rPr>
              <w:t>акта</w:t>
            </w:r>
            <w:proofErr w:type="spellEnd"/>
          </w:p>
          <w:p w:rsidR="001844CE" w:rsidRPr="002F4B61" w:rsidRDefault="001844CE" w:rsidP="001844CE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Style w:val="21"/>
                <w:rFonts w:eastAsia="Calibri"/>
              </w:rPr>
              <w:t xml:space="preserve">(Установлення фіксованих ставок єдиного податку для фізичних осіб-підприємців І </w:t>
            </w:r>
            <w:proofErr w:type="spellStart"/>
            <w:r>
              <w:rPr>
                <w:rStyle w:val="21"/>
                <w:rFonts w:eastAsia="Calibri"/>
              </w:rPr>
              <w:t>і</w:t>
            </w:r>
            <w:proofErr w:type="spellEnd"/>
            <w:r>
              <w:rPr>
                <w:rStyle w:val="21"/>
                <w:rFonts w:eastAsia="Calibri"/>
              </w:rPr>
              <w:t xml:space="preserve"> ІІ груп платників єдиного податку у розмірі 10% від прожиткового мінімуму - для І групи і 15% від мінімальної заробітної плати - для ІІ групи (розмір ставок у відсотковому виразі залишається незмінним порівняно з 2019 роком)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4CE" w:rsidRPr="002F4B61" w:rsidRDefault="001844CE" w:rsidP="001844CE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/>
              </w:rPr>
              <w:t>Виділення коштів з бюджету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об’єднаної територіальної громади</w:t>
            </w:r>
            <w:r w:rsidRPr="002F4B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програми соціально-економічного розвитку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громади, тощо</w:t>
            </w:r>
          </w:p>
          <w:p w:rsidR="001844CE" w:rsidRPr="002F4B61" w:rsidRDefault="001844CE" w:rsidP="00184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4CE" w:rsidRPr="002F4B61" w:rsidRDefault="001844CE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1844CE" w:rsidRDefault="001844CE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55B45" w:rsidRPr="002F4B61" w:rsidRDefault="00255B45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F4B61">
        <w:rPr>
          <w:sz w:val="28"/>
          <w:szCs w:val="28"/>
          <w:lang w:val="uk-UA"/>
        </w:rPr>
        <w:t>Оцінка впливу на сферу інтересів суб'єктів господарювання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3"/>
        <w:gridCol w:w="1398"/>
        <w:gridCol w:w="1489"/>
        <w:gridCol w:w="1399"/>
        <w:gridCol w:w="1399"/>
        <w:gridCol w:w="1330"/>
      </w:tblGrid>
      <w:tr w:rsidR="00255B45" w:rsidRPr="002F4B61" w:rsidTr="00255B45">
        <w:trPr>
          <w:tblCellSpacing w:w="22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Мікро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Разом</w:t>
            </w:r>
          </w:p>
        </w:tc>
      </w:tr>
      <w:tr w:rsidR="00255B45" w:rsidRPr="002F4B61" w:rsidTr="00255B45">
        <w:trPr>
          <w:tblCellSpacing w:w="22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 </w:t>
            </w:r>
            <w:r w:rsidR="00C07E8F" w:rsidRPr="002F4B6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8F4573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8F4573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891E5C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891E5C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</w:tr>
      <w:tr w:rsidR="00255B45" w:rsidRPr="002F4B61" w:rsidTr="00255B45">
        <w:trPr>
          <w:tblCellSpacing w:w="22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C07E8F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0</w:t>
            </w:r>
            <w:r w:rsidR="00255B45" w:rsidRPr="002F4B6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8F4573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8F4573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8F4573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255B45" w:rsidRPr="002F4B61" w:rsidRDefault="00255B45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3"/>
        <w:gridCol w:w="3012"/>
        <w:gridCol w:w="3203"/>
      </w:tblGrid>
      <w:tr w:rsidR="00255B45" w:rsidRPr="002F4B61" w:rsidTr="00891E5C">
        <w:trPr>
          <w:tblCellSpacing w:w="22" w:type="dxa"/>
        </w:trPr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Витрати</w:t>
            </w:r>
          </w:p>
        </w:tc>
      </w:tr>
      <w:tr w:rsidR="00891E5C" w:rsidRPr="002F4B61" w:rsidTr="00891E5C">
        <w:trPr>
          <w:trHeight w:val="2227"/>
          <w:tblCellSpacing w:w="22" w:type="dxa"/>
        </w:trPr>
        <w:tc>
          <w:tcPr>
            <w:tcW w:w="163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1E5C" w:rsidRDefault="00891E5C" w:rsidP="00891E5C">
            <w:pPr>
              <w:pStyle w:val="a3"/>
              <w:spacing w:before="0" w:beforeAutospacing="0" w:after="0" w:afterAutospacing="0"/>
              <w:jc w:val="center"/>
              <w:rPr>
                <w:rStyle w:val="2"/>
                <w:sz w:val="28"/>
                <w:szCs w:val="28"/>
                <w:lang w:val="uk-UA"/>
              </w:rPr>
            </w:pPr>
            <w:r>
              <w:rPr>
                <w:rStyle w:val="2"/>
                <w:sz w:val="28"/>
                <w:szCs w:val="28"/>
                <w:lang w:val="uk-UA"/>
              </w:rPr>
              <w:lastRenderedPageBreak/>
              <w:t>Альтернатива 1</w:t>
            </w:r>
          </w:p>
          <w:p w:rsidR="00891E5C" w:rsidRPr="00096AF5" w:rsidRDefault="00891E5C" w:rsidP="00891E5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96AF5">
              <w:rPr>
                <w:rStyle w:val="2"/>
                <w:sz w:val="28"/>
                <w:szCs w:val="28"/>
                <w:lang w:val="uk-UA"/>
              </w:rPr>
              <w:t xml:space="preserve">Не прийняття регуляторного </w:t>
            </w:r>
            <w:proofErr w:type="spellStart"/>
            <w:r w:rsidRPr="00096AF5">
              <w:rPr>
                <w:rStyle w:val="2"/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1E5C" w:rsidRPr="002F4B61" w:rsidRDefault="00891E5C" w:rsidP="00891E5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 xml:space="preserve">Суб'єкти господарювання </w:t>
            </w:r>
            <w:r>
              <w:rPr>
                <w:rStyle w:val="2"/>
                <w:sz w:val="28"/>
                <w:szCs w:val="28"/>
                <w:lang w:val="uk-UA"/>
              </w:rPr>
              <w:t>– платники податку у 2020</w:t>
            </w:r>
            <w:r w:rsidRPr="002F4B61">
              <w:rPr>
                <w:rStyle w:val="2"/>
                <w:sz w:val="28"/>
                <w:szCs w:val="28"/>
                <w:lang w:val="uk-UA"/>
              </w:rPr>
              <w:t xml:space="preserve"> році будуть сплачувати податок за мінімальними ставками (1 відсоток).</w:t>
            </w:r>
          </w:p>
          <w:p w:rsidR="00891E5C" w:rsidRPr="002F4B61" w:rsidRDefault="00891E5C" w:rsidP="00891E5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891E5C" w:rsidRPr="002F4B61" w:rsidRDefault="00891E5C" w:rsidP="00891E5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1E5C" w:rsidRPr="002F4B61" w:rsidRDefault="00891E5C" w:rsidP="00891E5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 xml:space="preserve">Суб'єкти господарювання </w:t>
            </w:r>
            <w:r>
              <w:rPr>
                <w:rStyle w:val="2"/>
                <w:sz w:val="28"/>
                <w:szCs w:val="28"/>
                <w:lang w:val="uk-UA"/>
              </w:rPr>
              <w:t>– платники податку у 2020</w:t>
            </w:r>
            <w:r w:rsidRPr="002F4B61">
              <w:rPr>
                <w:rStyle w:val="2"/>
                <w:sz w:val="28"/>
                <w:szCs w:val="28"/>
                <w:lang w:val="uk-UA"/>
              </w:rPr>
              <w:t xml:space="preserve"> році будуть сплачувати податок за мінімальними ставками (1 відсоток).</w:t>
            </w:r>
          </w:p>
          <w:p w:rsidR="00891E5C" w:rsidRPr="002F4B61" w:rsidRDefault="00891E5C" w:rsidP="00891E5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 xml:space="preserve">Витрати на сплату податку </w:t>
            </w:r>
            <w:proofErr w:type="spellStart"/>
            <w:r w:rsidRPr="002F4B61">
              <w:rPr>
                <w:sz w:val="28"/>
                <w:szCs w:val="28"/>
                <w:lang w:val="uk-UA"/>
              </w:rPr>
              <w:t>зменшаться</w:t>
            </w:r>
            <w:proofErr w:type="spellEnd"/>
            <w:r w:rsidRPr="002F4B61">
              <w:rPr>
                <w:sz w:val="28"/>
                <w:szCs w:val="28"/>
                <w:lang w:val="uk-UA"/>
              </w:rPr>
              <w:t>, при цьому конкурентоспроможність не зміниться.</w:t>
            </w:r>
          </w:p>
        </w:tc>
      </w:tr>
      <w:tr w:rsidR="00891E5C" w:rsidRPr="002F4B61" w:rsidTr="00891E5C">
        <w:trPr>
          <w:tblCellSpacing w:w="22" w:type="dxa"/>
        </w:trPr>
        <w:tc>
          <w:tcPr>
            <w:tcW w:w="1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E5C" w:rsidRPr="002F4B61" w:rsidRDefault="00891E5C" w:rsidP="00891E5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Style w:val="21"/>
                <w:rFonts w:eastAsia="Calibri"/>
              </w:rPr>
              <w:t>Альтернатива 2</w:t>
            </w:r>
          </w:p>
          <w:p w:rsidR="00891E5C" w:rsidRPr="002F4B61" w:rsidRDefault="00891E5C" w:rsidP="00891E5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Style w:val="21"/>
                <w:rFonts w:eastAsia="Calibri"/>
              </w:rPr>
              <w:t xml:space="preserve">Прийняття запропонованого регуляторного </w:t>
            </w:r>
            <w:proofErr w:type="spellStart"/>
            <w:r>
              <w:rPr>
                <w:rStyle w:val="21"/>
                <w:rFonts w:eastAsia="Calibri"/>
              </w:rPr>
              <w:t>акта</w:t>
            </w:r>
            <w:proofErr w:type="spellEnd"/>
          </w:p>
          <w:p w:rsidR="00891E5C" w:rsidRPr="002F4B61" w:rsidRDefault="00891E5C" w:rsidP="00891E5C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Style w:val="21"/>
                <w:rFonts w:eastAsia="Calibri"/>
              </w:rPr>
              <w:t xml:space="preserve">(Установлення фіксованих ставок єдиного податку для фізичних осіб-підприємців І </w:t>
            </w:r>
            <w:proofErr w:type="spellStart"/>
            <w:r>
              <w:rPr>
                <w:rStyle w:val="21"/>
                <w:rFonts w:eastAsia="Calibri"/>
              </w:rPr>
              <w:t>і</w:t>
            </w:r>
            <w:proofErr w:type="spellEnd"/>
            <w:r>
              <w:rPr>
                <w:rStyle w:val="21"/>
                <w:rFonts w:eastAsia="Calibri"/>
              </w:rPr>
              <w:t xml:space="preserve"> ІІ груп платників єдиного податку у розмірі 10% від прожиткового мінімуму - для І групи і 15% від мінімальної заробітної плати - для ІІ групи (розмір ставок у відсотковому виразі залишається незмінним порівняно з 2019 роком)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E5C" w:rsidRPr="002F4B61" w:rsidRDefault="00891E5C" w:rsidP="00891E5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E5C" w:rsidRPr="002F4B61" w:rsidRDefault="00891E5C" w:rsidP="00891E5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 xml:space="preserve">Суб'єкти господарювання будуть сплачувати податок за ставками згідно рішення </w:t>
            </w:r>
            <w:r>
              <w:rPr>
                <w:sz w:val="28"/>
                <w:szCs w:val="28"/>
                <w:lang w:val="uk-UA"/>
              </w:rPr>
              <w:t>Степанківської сільської</w:t>
            </w:r>
            <w:r w:rsidRPr="002F4B61">
              <w:rPr>
                <w:sz w:val="28"/>
                <w:szCs w:val="28"/>
                <w:lang w:val="uk-UA"/>
              </w:rPr>
              <w:t xml:space="preserve"> ради.</w:t>
            </w:r>
          </w:p>
        </w:tc>
      </w:tr>
    </w:tbl>
    <w:p w:rsidR="00291F1F" w:rsidRPr="002F4B61" w:rsidRDefault="00291F1F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8"/>
        <w:gridCol w:w="2920"/>
      </w:tblGrid>
      <w:tr w:rsidR="00255B45" w:rsidRPr="002F4B61" w:rsidTr="00291F1F">
        <w:trPr>
          <w:tblCellSpacing w:w="22" w:type="dxa"/>
        </w:trPr>
        <w:tc>
          <w:tcPr>
            <w:tcW w:w="3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Сумарні витрати за альтернативами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Сума витрат, гривень</w:t>
            </w:r>
          </w:p>
        </w:tc>
      </w:tr>
      <w:tr w:rsidR="00255B45" w:rsidRPr="002F4B61" w:rsidTr="00291F1F">
        <w:trPr>
          <w:tblCellSpacing w:w="22" w:type="dxa"/>
        </w:trPr>
        <w:tc>
          <w:tcPr>
            <w:tcW w:w="3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8A56A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Альтернатива 1</w:t>
            </w:r>
            <w:r w:rsidR="009F2068" w:rsidRPr="002F4B61">
              <w:rPr>
                <w:rStyle w:val="2"/>
                <w:sz w:val="28"/>
                <w:szCs w:val="28"/>
                <w:lang w:val="uk-UA"/>
              </w:rPr>
              <w:t xml:space="preserve"> </w:t>
            </w:r>
            <w:r w:rsidR="00FF527D" w:rsidRPr="002F4B61">
              <w:rPr>
                <w:rStyle w:val="2"/>
                <w:sz w:val="28"/>
                <w:szCs w:val="28"/>
                <w:lang w:val="uk-UA"/>
              </w:rPr>
              <w:t xml:space="preserve">«Не прийняття регуляторного </w:t>
            </w:r>
            <w:proofErr w:type="spellStart"/>
            <w:r w:rsidR="00FF527D" w:rsidRPr="002F4B61">
              <w:rPr>
                <w:rStyle w:val="2"/>
                <w:sz w:val="28"/>
                <w:szCs w:val="28"/>
                <w:lang w:val="uk-UA"/>
              </w:rPr>
              <w:t>акта</w:t>
            </w:r>
            <w:proofErr w:type="spellEnd"/>
            <w:r w:rsidR="008A56A3">
              <w:rPr>
                <w:rStyle w:val="2"/>
                <w:sz w:val="28"/>
                <w:szCs w:val="28"/>
                <w:lang w:val="uk-UA"/>
              </w:rPr>
              <w:t>»</w:t>
            </w:r>
            <w:r w:rsidR="00FF527D" w:rsidRPr="002F4B61">
              <w:rPr>
                <w:rStyle w:val="2"/>
                <w:sz w:val="28"/>
                <w:szCs w:val="28"/>
                <w:lang w:val="uk-UA"/>
              </w:rPr>
              <w:t xml:space="preserve"> </w:t>
            </w:r>
            <w:r w:rsidRPr="002F4B61">
              <w:rPr>
                <w:sz w:val="28"/>
                <w:szCs w:val="28"/>
                <w:lang w:val="uk-UA"/>
              </w:rPr>
              <w:t xml:space="preserve">Сумарні витрати для суб'єктів господарювання великого і середнього підприємництва згідно з додатком 2 до Методики проведення аналізу впливу регуляторного </w:t>
            </w:r>
            <w:proofErr w:type="spellStart"/>
            <w:r w:rsidRPr="002F4B61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2F4B61">
              <w:rPr>
                <w:sz w:val="28"/>
                <w:szCs w:val="28"/>
                <w:lang w:val="uk-UA"/>
              </w:rPr>
              <w:t xml:space="preserve"> (рядок 11 таблиці "Витрати на одного суб'єкта господарювання великого і середнього підприємництва, які виникають внаслідок дії регуляторного </w:t>
            </w:r>
            <w:proofErr w:type="spellStart"/>
            <w:r w:rsidRPr="002F4B61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2F4B61">
              <w:rPr>
                <w:sz w:val="28"/>
                <w:szCs w:val="28"/>
                <w:lang w:val="uk-UA"/>
              </w:rPr>
              <w:t>")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FF527D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-</w:t>
            </w:r>
          </w:p>
        </w:tc>
      </w:tr>
      <w:tr w:rsidR="00255B45" w:rsidRPr="002F4B61" w:rsidTr="00291F1F">
        <w:trPr>
          <w:tblCellSpacing w:w="22" w:type="dxa"/>
        </w:trPr>
        <w:tc>
          <w:tcPr>
            <w:tcW w:w="3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27D" w:rsidRPr="002F4B61" w:rsidRDefault="00255B45" w:rsidP="00720C16">
            <w:pPr>
              <w:spacing w:after="0" w:line="240" w:lineRule="auto"/>
              <w:jc w:val="both"/>
              <w:rPr>
                <w:rStyle w:val="2"/>
                <w:sz w:val="28"/>
                <w:szCs w:val="28"/>
                <w:lang w:val="uk-UA"/>
              </w:rPr>
            </w:pPr>
            <w:r w:rsidRPr="008A56A3">
              <w:rPr>
                <w:rFonts w:ascii="Times New Roman" w:hAnsi="Times New Roman"/>
                <w:sz w:val="28"/>
                <w:szCs w:val="28"/>
                <w:lang w:val="uk-UA"/>
              </w:rPr>
              <w:t>Альтернатива 2</w:t>
            </w:r>
            <w:r w:rsidR="009F2068" w:rsidRPr="002F4B61">
              <w:rPr>
                <w:rStyle w:val="2"/>
                <w:sz w:val="28"/>
                <w:szCs w:val="28"/>
                <w:lang w:val="uk-UA"/>
              </w:rPr>
              <w:t xml:space="preserve"> «</w:t>
            </w:r>
            <w:r w:rsidR="008A56A3">
              <w:rPr>
                <w:rStyle w:val="21"/>
                <w:rFonts w:eastAsia="Calibri"/>
              </w:rPr>
              <w:t xml:space="preserve">Прийняття запропонованого </w:t>
            </w:r>
            <w:r w:rsidR="008A56A3">
              <w:rPr>
                <w:rStyle w:val="21"/>
                <w:rFonts w:eastAsia="Calibri"/>
              </w:rPr>
              <w:t xml:space="preserve">регуляторного </w:t>
            </w:r>
            <w:proofErr w:type="spellStart"/>
            <w:r w:rsidR="008A56A3">
              <w:rPr>
                <w:rStyle w:val="21"/>
                <w:rFonts w:eastAsia="Calibri"/>
              </w:rPr>
              <w:t>акта</w:t>
            </w:r>
            <w:proofErr w:type="spellEnd"/>
            <w:r w:rsidR="008A56A3">
              <w:rPr>
                <w:rStyle w:val="21"/>
                <w:rFonts w:eastAsia="Calibri"/>
              </w:rPr>
              <w:t xml:space="preserve"> </w:t>
            </w:r>
            <w:r w:rsidR="008A56A3">
              <w:rPr>
                <w:rStyle w:val="21"/>
                <w:rFonts w:eastAsia="Calibri"/>
              </w:rPr>
              <w:t xml:space="preserve">(Установлення фіксованих ставок єдиного податку для фізичних осіб-підприємців І </w:t>
            </w:r>
            <w:proofErr w:type="spellStart"/>
            <w:r w:rsidR="008A56A3">
              <w:rPr>
                <w:rStyle w:val="21"/>
                <w:rFonts w:eastAsia="Calibri"/>
              </w:rPr>
              <w:t>і</w:t>
            </w:r>
            <w:proofErr w:type="spellEnd"/>
            <w:r w:rsidR="008A56A3">
              <w:rPr>
                <w:rStyle w:val="21"/>
                <w:rFonts w:eastAsia="Calibri"/>
              </w:rPr>
              <w:t xml:space="preserve"> ІІ груп платників єдиного податку у розмірі 10% від прожиткового мінімуму - для І групи </w:t>
            </w:r>
            <w:r w:rsidR="008A56A3">
              <w:rPr>
                <w:rStyle w:val="21"/>
                <w:rFonts w:eastAsia="Calibri"/>
              </w:rPr>
              <w:lastRenderedPageBreak/>
              <w:t>і 15% від мінімальної заробітної плати - для ІІ групи</w:t>
            </w:r>
            <w:r w:rsidR="00FF527D" w:rsidRPr="002F4B61">
              <w:rPr>
                <w:rStyle w:val="2"/>
                <w:sz w:val="28"/>
                <w:szCs w:val="28"/>
                <w:lang w:val="uk-UA"/>
              </w:rPr>
              <w:t>»</w:t>
            </w:r>
          </w:p>
          <w:p w:rsidR="00255B45" w:rsidRPr="002F4B61" w:rsidRDefault="00255B45" w:rsidP="00720C1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 xml:space="preserve">Сумарні витрати для суб'єктів господарювання великого і середнього підприємництва згідно з додатком 2 до Методики проведення аналізу впливу регуляторного </w:t>
            </w:r>
            <w:proofErr w:type="spellStart"/>
            <w:r w:rsidRPr="002F4B61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2F4B61">
              <w:rPr>
                <w:sz w:val="28"/>
                <w:szCs w:val="28"/>
                <w:lang w:val="uk-UA"/>
              </w:rPr>
              <w:t xml:space="preserve"> (рядок 11 таблиці "Витрати на одного суб'єкта господарювання великого і середнього підприємництва, які виникають внаслідок дії регуляторного </w:t>
            </w:r>
            <w:proofErr w:type="spellStart"/>
            <w:r w:rsidRPr="002F4B61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2F4B61">
              <w:rPr>
                <w:sz w:val="28"/>
                <w:szCs w:val="28"/>
                <w:lang w:val="uk-UA"/>
              </w:rPr>
              <w:t>")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FF527D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</w:tr>
    </w:tbl>
    <w:p w:rsidR="008A56A3" w:rsidRDefault="008A56A3" w:rsidP="001844CE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255B45" w:rsidRPr="002F4B61" w:rsidRDefault="00255B45" w:rsidP="001844CE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F4B61">
        <w:rPr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7"/>
        <w:gridCol w:w="2541"/>
        <w:gridCol w:w="3250"/>
      </w:tblGrid>
      <w:tr w:rsidR="00255B45" w:rsidRPr="002F4B61" w:rsidTr="007E37B6">
        <w:trPr>
          <w:tblCellSpacing w:w="22" w:type="dxa"/>
        </w:trPr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 xml:space="preserve">Коментарі щодо присвоєння відповідного </w:t>
            </w:r>
            <w:proofErr w:type="spellStart"/>
            <w:r w:rsidRPr="002F4B61">
              <w:rPr>
                <w:sz w:val="28"/>
                <w:szCs w:val="28"/>
                <w:lang w:val="uk-UA"/>
              </w:rPr>
              <w:t>бала</w:t>
            </w:r>
            <w:proofErr w:type="spellEnd"/>
          </w:p>
        </w:tc>
      </w:tr>
      <w:tr w:rsidR="007E37B6" w:rsidRPr="002F4B61" w:rsidTr="007E37B6">
        <w:trPr>
          <w:tblCellSpacing w:w="22" w:type="dxa"/>
        </w:trPr>
        <w:tc>
          <w:tcPr>
            <w:tcW w:w="18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37B6" w:rsidRDefault="007E37B6" w:rsidP="007E37B6">
            <w:pPr>
              <w:pStyle w:val="a3"/>
              <w:spacing w:before="0" w:beforeAutospacing="0" w:after="0" w:afterAutospacing="0"/>
              <w:jc w:val="center"/>
              <w:rPr>
                <w:rStyle w:val="2"/>
                <w:sz w:val="28"/>
                <w:szCs w:val="28"/>
                <w:lang w:val="uk-UA"/>
              </w:rPr>
            </w:pPr>
            <w:r>
              <w:rPr>
                <w:rStyle w:val="2"/>
                <w:sz w:val="28"/>
                <w:szCs w:val="28"/>
                <w:lang w:val="uk-UA"/>
              </w:rPr>
              <w:t>Альтернатива 1</w:t>
            </w:r>
          </w:p>
          <w:p w:rsidR="007E37B6" w:rsidRPr="00096AF5" w:rsidRDefault="007E37B6" w:rsidP="007E37B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96AF5">
              <w:rPr>
                <w:rStyle w:val="2"/>
                <w:sz w:val="28"/>
                <w:szCs w:val="28"/>
                <w:lang w:val="uk-UA"/>
              </w:rPr>
              <w:t xml:space="preserve">Не прийняття регуляторного </w:t>
            </w:r>
            <w:proofErr w:type="spellStart"/>
            <w:r w:rsidRPr="00096AF5">
              <w:rPr>
                <w:rStyle w:val="2"/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7B6" w:rsidRPr="002F4B61" w:rsidRDefault="007E37B6" w:rsidP="007E37B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37B6" w:rsidRPr="002F4B61" w:rsidRDefault="007E37B6" w:rsidP="007E37B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Рішення про встановлення єдиного податку</w:t>
            </w:r>
            <w:r>
              <w:rPr>
                <w:sz w:val="28"/>
                <w:szCs w:val="28"/>
                <w:lang w:val="uk-UA"/>
              </w:rPr>
              <w:t xml:space="preserve"> та затвердження відповідного Положення</w:t>
            </w:r>
            <w:r w:rsidRPr="002F4B61">
              <w:rPr>
                <w:sz w:val="28"/>
                <w:szCs w:val="28"/>
                <w:lang w:val="uk-UA"/>
              </w:rPr>
              <w:t xml:space="preserve"> на 2019 рік не буде діяти у 2020 році, що значно зменшить</w:t>
            </w:r>
            <w:r>
              <w:rPr>
                <w:sz w:val="28"/>
                <w:szCs w:val="28"/>
                <w:lang w:val="uk-UA"/>
              </w:rPr>
              <w:t xml:space="preserve"> надходження до</w:t>
            </w:r>
            <w:r w:rsidRPr="002F4B61">
              <w:rPr>
                <w:sz w:val="28"/>
                <w:szCs w:val="28"/>
                <w:lang w:val="uk-UA"/>
              </w:rPr>
              <w:t xml:space="preserve"> бюджету</w:t>
            </w:r>
            <w:r>
              <w:rPr>
                <w:sz w:val="28"/>
                <w:szCs w:val="28"/>
                <w:lang w:val="uk-UA"/>
              </w:rPr>
              <w:t xml:space="preserve"> об’єднаної територіальної громади</w:t>
            </w:r>
            <w:r w:rsidRPr="002F4B61">
              <w:rPr>
                <w:sz w:val="28"/>
                <w:szCs w:val="28"/>
                <w:lang w:val="uk-UA"/>
              </w:rPr>
              <w:t>. Проблема сплати податку в мінімальному розмірі буде існувати до 2021 року.</w:t>
            </w:r>
          </w:p>
        </w:tc>
      </w:tr>
      <w:tr w:rsidR="007E37B6" w:rsidRPr="002F4B61" w:rsidTr="007E37B6">
        <w:trPr>
          <w:tblCellSpacing w:w="22" w:type="dxa"/>
        </w:trPr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37B6" w:rsidRPr="002F4B61" w:rsidRDefault="007E37B6" w:rsidP="007E37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Style w:val="21"/>
                <w:rFonts w:eastAsia="Calibri"/>
              </w:rPr>
              <w:t>Альтернатива 2</w:t>
            </w:r>
          </w:p>
          <w:p w:rsidR="007E37B6" w:rsidRPr="002F4B61" w:rsidRDefault="007E37B6" w:rsidP="007E37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Style w:val="21"/>
                <w:rFonts w:eastAsia="Calibri"/>
              </w:rPr>
              <w:t xml:space="preserve">Прийняття запропонованого регуляторного </w:t>
            </w:r>
            <w:proofErr w:type="spellStart"/>
            <w:r>
              <w:rPr>
                <w:rStyle w:val="21"/>
                <w:rFonts w:eastAsia="Calibri"/>
              </w:rPr>
              <w:t>акта</w:t>
            </w:r>
            <w:proofErr w:type="spellEnd"/>
          </w:p>
          <w:p w:rsidR="007E37B6" w:rsidRPr="002F4B61" w:rsidRDefault="007E37B6" w:rsidP="007E37B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Style w:val="21"/>
                <w:rFonts w:eastAsia="Calibri"/>
              </w:rPr>
              <w:t xml:space="preserve">(Установлення фіксованих ставок єдиного податку для фізичних осіб-підприємців І </w:t>
            </w:r>
            <w:proofErr w:type="spellStart"/>
            <w:r>
              <w:rPr>
                <w:rStyle w:val="21"/>
                <w:rFonts w:eastAsia="Calibri"/>
              </w:rPr>
              <w:t>і</w:t>
            </w:r>
            <w:proofErr w:type="spellEnd"/>
            <w:r>
              <w:rPr>
                <w:rStyle w:val="21"/>
                <w:rFonts w:eastAsia="Calibri"/>
              </w:rPr>
              <w:t xml:space="preserve"> ІІ груп платників єдиного податку у розмірі 10% від прожиткового мінімуму - для І групи і 15% від мінімальної заробітної плати - для ІІ групи 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7B6" w:rsidRPr="002F4B61" w:rsidRDefault="007E37B6" w:rsidP="007E37B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7B6" w:rsidRDefault="007E37B6" w:rsidP="007E37B6">
            <w:pPr>
              <w:pStyle w:val="a3"/>
              <w:spacing w:before="0" w:beforeAutospacing="0" w:after="0" w:afterAutospacing="0"/>
              <w:jc w:val="center"/>
              <w:rPr>
                <w:rStyle w:val="2"/>
                <w:sz w:val="28"/>
                <w:szCs w:val="28"/>
                <w:lang w:val="uk-UA"/>
              </w:rPr>
            </w:pPr>
            <w:r w:rsidRPr="002F4B61">
              <w:rPr>
                <w:rStyle w:val="2"/>
                <w:sz w:val="28"/>
                <w:szCs w:val="28"/>
                <w:lang w:val="uk-UA"/>
              </w:rPr>
              <w:t>Цей регуляторний акт відповідає потребам у розв’язанні визначеної проблеми та принципам державної регуляторної політики.</w:t>
            </w:r>
          </w:p>
          <w:p w:rsidR="007E37B6" w:rsidRPr="002F4B61" w:rsidRDefault="007E37B6" w:rsidP="007E37B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rStyle w:val="2"/>
                <w:sz w:val="28"/>
                <w:szCs w:val="28"/>
                <w:lang w:val="uk-UA"/>
              </w:rPr>
              <w:t xml:space="preserve">Затвердження такого регуляторного </w:t>
            </w:r>
            <w:proofErr w:type="spellStart"/>
            <w:r w:rsidRPr="002F4B61">
              <w:rPr>
                <w:rStyle w:val="2"/>
                <w:sz w:val="28"/>
                <w:szCs w:val="28"/>
                <w:lang w:val="uk-UA"/>
              </w:rPr>
              <w:t>акта</w:t>
            </w:r>
            <w:proofErr w:type="spellEnd"/>
            <w:r w:rsidRPr="002F4B61">
              <w:rPr>
                <w:rStyle w:val="2"/>
                <w:sz w:val="28"/>
                <w:szCs w:val="28"/>
                <w:lang w:val="uk-UA"/>
              </w:rPr>
              <w:t xml:space="preserve"> забезпечить поступове досягнення встановлених цілей.</w:t>
            </w:r>
          </w:p>
        </w:tc>
      </w:tr>
    </w:tbl>
    <w:p w:rsidR="00255B45" w:rsidRPr="002F4B61" w:rsidRDefault="00255B45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D0C13" w:rsidRPr="002F4B61" w:rsidRDefault="006D0C13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D0C13" w:rsidRPr="002F4B61" w:rsidRDefault="006D0C13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4"/>
        <w:gridCol w:w="2383"/>
        <w:gridCol w:w="2104"/>
        <w:gridCol w:w="2647"/>
      </w:tblGrid>
      <w:tr w:rsidR="00255B45" w:rsidRPr="002F4B61" w:rsidTr="00774DE8">
        <w:trPr>
          <w:tblCellSpacing w:w="22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lastRenderedPageBreak/>
              <w:t>Рейтинг результативності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Вигоди (підсумок)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774DE8" w:rsidRPr="002F4B61" w:rsidTr="00774DE8">
        <w:trPr>
          <w:tblCellSpacing w:w="22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656" w:rsidRPr="002F4B61" w:rsidRDefault="001D1656" w:rsidP="001D165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Style w:val="21"/>
                <w:rFonts w:eastAsia="Calibri"/>
              </w:rPr>
              <w:t xml:space="preserve">Прийняття запропонованого регуляторного </w:t>
            </w:r>
            <w:proofErr w:type="spellStart"/>
            <w:r>
              <w:rPr>
                <w:rStyle w:val="21"/>
                <w:rFonts w:eastAsia="Calibri"/>
              </w:rPr>
              <w:t>акта</w:t>
            </w:r>
            <w:proofErr w:type="spellEnd"/>
          </w:p>
          <w:p w:rsidR="00774DE8" w:rsidRPr="002F4B61" w:rsidRDefault="001D1656" w:rsidP="001D165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21"/>
                <w:rFonts w:eastAsia="Calibri"/>
              </w:rPr>
              <w:t xml:space="preserve">(Установлення фіксованих ставок єдиного податку для фізичних осіб-підприємців І </w:t>
            </w:r>
            <w:proofErr w:type="spellStart"/>
            <w:r>
              <w:rPr>
                <w:rStyle w:val="21"/>
                <w:rFonts w:eastAsia="Calibri"/>
              </w:rPr>
              <w:t>і</w:t>
            </w:r>
            <w:proofErr w:type="spellEnd"/>
            <w:r>
              <w:rPr>
                <w:rStyle w:val="21"/>
                <w:rFonts w:eastAsia="Calibri"/>
              </w:rPr>
              <w:t xml:space="preserve"> ІІ груп платників єдиного податку у розмірі 10% від прожиткового мінімуму - для І групи і 15% від мінімальної заробітної плати - для ІІ групи</w:t>
            </w:r>
            <w:r>
              <w:rPr>
                <w:rStyle w:val="21"/>
                <w:rFonts w:eastAsia="Calibri"/>
              </w:rPr>
              <w:t>)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E8" w:rsidRPr="002F4B61" w:rsidRDefault="00774DE8" w:rsidP="001D1656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/>
              </w:rPr>
              <w:t>Належне фінансування програм соціально-економічного</w:t>
            </w:r>
            <w:r w:rsidR="001D16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розвитку громади</w:t>
            </w:r>
            <w:r w:rsidRPr="002F4B6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74DE8" w:rsidRPr="002F4B61" w:rsidRDefault="00774DE8" w:rsidP="001D165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E8" w:rsidRPr="002F4B61" w:rsidRDefault="00774DE8" w:rsidP="001D165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 xml:space="preserve">Суб'єкти господарювання І-ІІ груп будуть сплачувати податок за ставками згідно рішення </w:t>
            </w:r>
            <w:r w:rsidR="001D1656">
              <w:rPr>
                <w:sz w:val="28"/>
                <w:szCs w:val="28"/>
                <w:lang w:val="uk-UA"/>
              </w:rPr>
              <w:t xml:space="preserve">Степанківської сільської </w:t>
            </w:r>
            <w:r w:rsidRPr="002F4B61">
              <w:rPr>
                <w:sz w:val="28"/>
                <w:szCs w:val="28"/>
                <w:lang w:val="uk-UA"/>
              </w:rPr>
              <w:t>ради без погіршення умов для розвитку мікробізнесу.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DE8" w:rsidRPr="002F4B61" w:rsidRDefault="00774DE8" w:rsidP="001D165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rStyle w:val="2"/>
                <w:sz w:val="28"/>
                <w:szCs w:val="28"/>
                <w:lang w:val="uk-UA"/>
              </w:rPr>
              <w:t xml:space="preserve">Цей регуляторний акт відповідає потребам у розв’язанні визначеної проблеми та принципам державної регуляторної політики. Затвердження такого регуляторного </w:t>
            </w:r>
            <w:proofErr w:type="spellStart"/>
            <w:r w:rsidRPr="002F4B61">
              <w:rPr>
                <w:rStyle w:val="2"/>
                <w:sz w:val="28"/>
                <w:szCs w:val="28"/>
                <w:lang w:val="uk-UA"/>
              </w:rPr>
              <w:t>акта</w:t>
            </w:r>
            <w:proofErr w:type="spellEnd"/>
            <w:r w:rsidRPr="002F4B61">
              <w:rPr>
                <w:rStyle w:val="2"/>
                <w:sz w:val="28"/>
                <w:szCs w:val="28"/>
                <w:lang w:val="uk-UA"/>
              </w:rPr>
              <w:t xml:space="preserve"> забезпечить поступове досягнення встановлених цілей.</w:t>
            </w:r>
          </w:p>
        </w:tc>
      </w:tr>
      <w:tr w:rsidR="001854A9" w:rsidRPr="002F4B61" w:rsidTr="00774DE8">
        <w:trPr>
          <w:tblCellSpacing w:w="22" w:type="dxa"/>
        </w:trPr>
        <w:tc>
          <w:tcPr>
            <w:tcW w:w="96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54A9" w:rsidRPr="002F4B61" w:rsidRDefault="00B9404B" w:rsidP="001D165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rStyle w:val="2"/>
                <w:sz w:val="28"/>
                <w:szCs w:val="28"/>
                <w:lang w:val="uk-UA"/>
              </w:rPr>
              <w:t xml:space="preserve">Не прийняття регуляторного </w:t>
            </w:r>
            <w:proofErr w:type="spellStart"/>
            <w:r w:rsidRPr="002F4B61">
              <w:rPr>
                <w:rStyle w:val="2"/>
                <w:sz w:val="28"/>
                <w:szCs w:val="28"/>
                <w:lang w:val="uk-UA"/>
              </w:rPr>
              <w:t>акта</w:t>
            </w:r>
            <w:proofErr w:type="spellEnd"/>
            <w:r w:rsidRPr="002F4B61">
              <w:rPr>
                <w:rStyle w:val="2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04B" w:rsidRPr="002F4B61" w:rsidRDefault="00B9404B" w:rsidP="001D165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Для держави і громадян вигоди відсутні.</w:t>
            </w:r>
          </w:p>
          <w:p w:rsidR="001854A9" w:rsidRPr="002F4B61" w:rsidRDefault="00B9404B" w:rsidP="001D165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 xml:space="preserve">Суб’єкти господарювання                будуть сплачувати єдиний податок </w:t>
            </w:r>
            <w:r w:rsidRPr="002F4B61">
              <w:rPr>
                <w:rStyle w:val="2"/>
                <w:sz w:val="28"/>
                <w:szCs w:val="28"/>
                <w:lang w:val="uk-UA"/>
              </w:rPr>
              <w:t>за мінімальними ставками</w:t>
            </w:r>
            <w:r w:rsidR="00F848CD" w:rsidRPr="002F4B61">
              <w:rPr>
                <w:rStyle w:val="2"/>
                <w:sz w:val="28"/>
                <w:szCs w:val="28"/>
                <w:lang w:val="uk-UA"/>
              </w:rPr>
              <w:t xml:space="preserve"> (1 відсоток)</w:t>
            </w:r>
            <w:r w:rsidRPr="002F4B61">
              <w:rPr>
                <w:rStyle w:val="2"/>
                <w:sz w:val="28"/>
                <w:szCs w:val="28"/>
                <w:lang w:val="uk-UA"/>
              </w:rPr>
              <w:t>.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54A9" w:rsidRPr="002F4B61" w:rsidRDefault="001854A9" w:rsidP="001D165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 xml:space="preserve">Суб'єкти господарювання </w:t>
            </w:r>
            <w:r w:rsidR="00AE1541" w:rsidRPr="002F4B61">
              <w:rPr>
                <w:rStyle w:val="2"/>
                <w:sz w:val="28"/>
                <w:szCs w:val="28"/>
                <w:lang w:val="uk-UA"/>
              </w:rPr>
              <w:t>– платники податку у 20</w:t>
            </w:r>
            <w:r w:rsidR="00F01E3E" w:rsidRPr="002F4B61">
              <w:rPr>
                <w:rStyle w:val="2"/>
                <w:sz w:val="28"/>
                <w:szCs w:val="28"/>
                <w:lang w:val="uk-UA"/>
              </w:rPr>
              <w:t>20</w:t>
            </w:r>
            <w:r w:rsidR="00B9404B" w:rsidRPr="002F4B61">
              <w:rPr>
                <w:rStyle w:val="2"/>
                <w:sz w:val="28"/>
                <w:szCs w:val="28"/>
                <w:lang w:val="uk-UA"/>
              </w:rPr>
              <w:t xml:space="preserve"> </w:t>
            </w:r>
            <w:r w:rsidRPr="002F4B61">
              <w:rPr>
                <w:rStyle w:val="2"/>
                <w:sz w:val="28"/>
                <w:szCs w:val="28"/>
                <w:lang w:val="uk-UA"/>
              </w:rPr>
              <w:t>році будуть сплачувати п</w:t>
            </w:r>
            <w:r w:rsidR="00B9404B" w:rsidRPr="002F4B61">
              <w:rPr>
                <w:rStyle w:val="2"/>
                <w:sz w:val="28"/>
                <w:szCs w:val="28"/>
                <w:lang w:val="uk-UA"/>
              </w:rPr>
              <w:t>одаток за мінімальними ставками, що суттєво з</w:t>
            </w:r>
            <w:r w:rsidR="00B9404B" w:rsidRPr="002F4B61">
              <w:rPr>
                <w:sz w:val="28"/>
                <w:szCs w:val="28"/>
                <w:lang w:val="uk-UA"/>
              </w:rPr>
              <w:t xml:space="preserve">меншить </w:t>
            </w:r>
            <w:r w:rsidRPr="002F4B61">
              <w:rPr>
                <w:sz w:val="28"/>
                <w:szCs w:val="28"/>
                <w:lang w:val="uk-UA"/>
              </w:rPr>
              <w:t>надходжень у бюджет</w:t>
            </w:r>
            <w:r w:rsidR="001D1656">
              <w:rPr>
                <w:sz w:val="28"/>
                <w:szCs w:val="28"/>
                <w:lang w:val="uk-UA"/>
              </w:rPr>
              <w:t xml:space="preserve"> об’єднаної територіальної громади</w:t>
            </w:r>
            <w:r w:rsidR="00B9404B" w:rsidRPr="002F4B61">
              <w:rPr>
                <w:sz w:val="28"/>
                <w:szCs w:val="28"/>
                <w:lang w:val="uk-UA"/>
              </w:rPr>
              <w:t>.</w:t>
            </w:r>
          </w:p>
          <w:p w:rsidR="001854A9" w:rsidRPr="002F4B61" w:rsidRDefault="001854A9" w:rsidP="001D165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854A9" w:rsidRPr="002F4B61" w:rsidRDefault="00774DE8" w:rsidP="001D165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Рішення про вста</w:t>
            </w:r>
            <w:r w:rsidR="00AE1541" w:rsidRPr="002F4B61">
              <w:rPr>
                <w:sz w:val="28"/>
                <w:szCs w:val="28"/>
                <w:lang w:val="uk-UA"/>
              </w:rPr>
              <w:t>новлення єдиного податку на 201</w:t>
            </w:r>
            <w:r w:rsidR="00F01E3E" w:rsidRPr="002F4B61">
              <w:rPr>
                <w:sz w:val="28"/>
                <w:szCs w:val="28"/>
                <w:lang w:val="uk-UA"/>
              </w:rPr>
              <w:t>9</w:t>
            </w:r>
            <w:r w:rsidR="00AE1541" w:rsidRPr="002F4B61">
              <w:rPr>
                <w:sz w:val="28"/>
                <w:szCs w:val="28"/>
                <w:lang w:val="uk-UA"/>
              </w:rPr>
              <w:t xml:space="preserve"> рік не буде діяти у 20</w:t>
            </w:r>
            <w:r w:rsidR="00F01E3E" w:rsidRPr="002F4B61">
              <w:rPr>
                <w:sz w:val="28"/>
                <w:szCs w:val="28"/>
                <w:lang w:val="uk-UA"/>
              </w:rPr>
              <w:t>20</w:t>
            </w:r>
            <w:r w:rsidRPr="002F4B61">
              <w:rPr>
                <w:sz w:val="28"/>
                <w:szCs w:val="28"/>
                <w:lang w:val="uk-UA"/>
              </w:rPr>
              <w:t xml:space="preserve"> році, що значно зменшить надходження до бюджету</w:t>
            </w:r>
            <w:r w:rsidR="001D1656">
              <w:rPr>
                <w:sz w:val="28"/>
                <w:szCs w:val="28"/>
                <w:lang w:val="uk-UA"/>
              </w:rPr>
              <w:t xml:space="preserve"> об’єднаної територіальної громади</w:t>
            </w:r>
            <w:r w:rsidRPr="002F4B61">
              <w:rPr>
                <w:sz w:val="28"/>
                <w:szCs w:val="28"/>
                <w:lang w:val="uk-UA"/>
              </w:rPr>
              <w:t xml:space="preserve">. </w:t>
            </w:r>
            <w:r w:rsidR="001D1656">
              <w:rPr>
                <w:sz w:val="28"/>
                <w:szCs w:val="28"/>
                <w:lang w:val="uk-UA"/>
              </w:rPr>
              <w:t>Бюджет</w:t>
            </w:r>
            <w:r w:rsidRPr="002F4B61">
              <w:rPr>
                <w:sz w:val="28"/>
                <w:szCs w:val="28"/>
                <w:lang w:val="uk-UA"/>
              </w:rPr>
              <w:t xml:space="preserve"> не отримає належного фінансування програм соціально-економічного розвитку.</w:t>
            </w:r>
          </w:p>
        </w:tc>
      </w:tr>
    </w:tbl>
    <w:p w:rsidR="00255B45" w:rsidRPr="002F4B61" w:rsidRDefault="00255B45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F3E58" w:rsidRPr="002F4B61" w:rsidRDefault="007F3E58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5677B" w:rsidRPr="002F4B61" w:rsidRDefault="0075677B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5677B" w:rsidRPr="002F4B61" w:rsidRDefault="0075677B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5677B" w:rsidRPr="002F4B61" w:rsidRDefault="0075677B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5677B" w:rsidRPr="002F4B61" w:rsidRDefault="0075677B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5677B" w:rsidRPr="002F4B61" w:rsidRDefault="0075677B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5"/>
        <w:gridCol w:w="3984"/>
        <w:gridCol w:w="3089"/>
      </w:tblGrid>
      <w:tr w:rsidR="00255B45" w:rsidRPr="002F4B61" w:rsidTr="001D1656">
        <w:trPr>
          <w:tblCellSpacing w:w="22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2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2F4B61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</w:tr>
      <w:tr w:rsidR="006B1641" w:rsidRPr="002F4B61" w:rsidTr="001D1656">
        <w:trPr>
          <w:trHeight w:val="4711"/>
          <w:tblCellSpacing w:w="22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1656" w:rsidRPr="002F4B61" w:rsidRDefault="001D1656" w:rsidP="001D165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Style w:val="21"/>
                <w:rFonts w:eastAsia="Calibri"/>
              </w:rPr>
              <w:t xml:space="preserve">Прийняття запропонованого регуляторного </w:t>
            </w:r>
            <w:proofErr w:type="spellStart"/>
            <w:r>
              <w:rPr>
                <w:rStyle w:val="21"/>
                <w:rFonts w:eastAsia="Calibri"/>
              </w:rPr>
              <w:t>акта</w:t>
            </w:r>
            <w:proofErr w:type="spellEnd"/>
          </w:p>
          <w:p w:rsidR="006B1641" w:rsidRPr="002F4B61" w:rsidRDefault="001D1656" w:rsidP="001D165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21"/>
                <w:rFonts w:eastAsia="Calibri"/>
              </w:rPr>
              <w:t xml:space="preserve">(Установлення фіксованих ставок єдиного податку для фізичних осіб-підприємців І </w:t>
            </w:r>
            <w:proofErr w:type="spellStart"/>
            <w:r>
              <w:rPr>
                <w:rStyle w:val="21"/>
                <w:rFonts w:eastAsia="Calibri"/>
              </w:rPr>
              <w:t>і</w:t>
            </w:r>
            <w:proofErr w:type="spellEnd"/>
            <w:r>
              <w:rPr>
                <w:rStyle w:val="21"/>
                <w:rFonts w:eastAsia="Calibri"/>
              </w:rPr>
              <w:t xml:space="preserve"> ІІ груп платників єдиного податку у розмірі 10% від прожиткового мінімуму - для І групи і 15% від мінімальної заробітної плати - для ІІ групи)</w:t>
            </w:r>
          </w:p>
        </w:tc>
        <w:tc>
          <w:tcPr>
            <w:tcW w:w="211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1656" w:rsidRDefault="007F3E58" w:rsidP="001D1656">
            <w:pPr>
              <w:pStyle w:val="a3"/>
              <w:spacing w:before="0" w:beforeAutospacing="0" w:after="0" w:afterAutospacing="0"/>
              <w:jc w:val="center"/>
              <w:rPr>
                <w:rStyle w:val="2"/>
                <w:sz w:val="28"/>
                <w:szCs w:val="28"/>
                <w:lang w:val="uk-UA"/>
              </w:rPr>
            </w:pPr>
            <w:r w:rsidRPr="002F4B61">
              <w:rPr>
                <w:rStyle w:val="2"/>
                <w:sz w:val="28"/>
                <w:szCs w:val="28"/>
                <w:lang w:val="uk-UA"/>
              </w:rPr>
              <w:t>Цей регуляторний акт відповідає потребам у розв’язанні визначеної проблеми та принципам державної регуляторної політики.</w:t>
            </w:r>
          </w:p>
          <w:p w:rsidR="006B1641" w:rsidRPr="002F4B61" w:rsidRDefault="007F3E58" w:rsidP="001D165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rStyle w:val="2"/>
                <w:sz w:val="28"/>
                <w:szCs w:val="28"/>
                <w:lang w:val="uk-UA"/>
              </w:rPr>
              <w:t xml:space="preserve">Затвердження такого регуляторного </w:t>
            </w:r>
            <w:proofErr w:type="spellStart"/>
            <w:r w:rsidRPr="002F4B61">
              <w:rPr>
                <w:rStyle w:val="2"/>
                <w:sz w:val="28"/>
                <w:szCs w:val="28"/>
                <w:lang w:val="uk-UA"/>
              </w:rPr>
              <w:t>акта</w:t>
            </w:r>
            <w:proofErr w:type="spellEnd"/>
            <w:r w:rsidRPr="002F4B61">
              <w:rPr>
                <w:rStyle w:val="2"/>
                <w:sz w:val="28"/>
                <w:szCs w:val="28"/>
                <w:lang w:val="uk-UA"/>
              </w:rPr>
              <w:t xml:space="preserve"> забезпечить поступове досягнення встановлених цілей.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1641" w:rsidRPr="002F4B61" w:rsidRDefault="007F3E58" w:rsidP="001D165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Зміни у Податковому кодексі України, зниження платоспроможності платників податків, зменшення кількості суб’єктів господарювання. Політична та економічна ситуація в країні.</w:t>
            </w:r>
          </w:p>
        </w:tc>
      </w:tr>
      <w:tr w:rsidR="00791980" w:rsidRPr="002F4B61" w:rsidTr="001D1656">
        <w:trPr>
          <w:tblCellSpacing w:w="22" w:type="dxa"/>
        </w:trPr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980" w:rsidRPr="002F4B61" w:rsidRDefault="007F3E58" w:rsidP="001D1656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</w:pPr>
            <w:r w:rsidRPr="002F4B6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 xml:space="preserve">Не прийняття регуляторного </w:t>
            </w:r>
            <w:proofErr w:type="spellStart"/>
            <w:r w:rsidRPr="002F4B6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акта</w:t>
            </w:r>
            <w:proofErr w:type="spellEnd"/>
            <w:r w:rsidRPr="002F4B6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980" w:rsidRPr="002F4B61" w:rsidRDefault="007F3E58" w:rsidP="001D165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Рішення про вста</w:t>
            </w:r>
            <w:r w:rsidR="00AE1541" w:rsidRPr="002F4B61">
              <w:rPr>
                <w:sz w:val="28"/>
                <w:szCs w:val="28"/>
                <w:lang w:val="uk-UA"/>
              </w:rPr>
              <w:t>новлення єдиного податку на 201</w:t>
            </w:r>
            <w:r w:rsidR="001D1656">
              <w:rPr>
                <w:sz w:val="28"/>
                <w:szCs w:val="28"/>
              </w:rPr>
              <w:t>9</w:t>
            </w:r>
            <w:r w:rsidR="001D1656">
              <w:rPr>
                <w:sz w:val="28"/>
                <w:szCs w:val="28"/>
                <w:lang w:val="uk-UA"/>
              </w:rPr>
              <w:t xml:space="preserve"> рік не буде діяти у 2020</w:t>
            </w:r>
            <w:r w:rsidRPr="002F4B61">
              <w:rPr>
                <w:sz w:val="28"/>
                <w:szCs w:val="28"/>
                <w:lang w:val="uk-UA"/>
              </w:rPr>
              <w:t xml:space="preserve"> році, що значно </w:t>
            </w:r>
            <w:r w:rsidR="001D1656">
              <w:rPr>
                <w:sz w:val="28"/>
                <w:szCs w:val="28"/>
                <w:lang w:val="uk-UA"/>
              </w:rPr>
              <w:t>зменшить надходження до</w:t>
            </w:r>
            <w:r w:rsidRPr="002F4B61">
              <w:rPr>
                <w:sz w:val="28"/>
                <w:szCs w:val="28"/>
                <w:lang w:val="uk-UA"/>
              </w:rPr>
              <w:t xml:space="preserve"> бюджету</w:t>
            </w:r>
            <w:r w:rsidR="001D1656">
              <w:rPr>
                <w:sz w:val="28"/>
                <w:szCs w:val="28"/>
                <w:lang w:val="uk-UA"/>
              </w:rPr>
              <w:t xml:space="preserve"> об’єднаної територіальної громади</w:t>
            </w:r>
            <w:r w:rsidRPr="002F4B61">
              <w:rPr>
                <w:sz w:val="28"/>
                <w:szCs w:val="28"/>
                <w:lang w:val="uk-UA"/>
              </w:rPr>
              <w:t xml:space="preserve">. </w:t>
            </w:r>
            <w:r w:rsidR="001D1656">
              <w:rPr>
                <w:sz w:val="28"/>
                <w:szCs w:val="28"/>
                <w:lang w:val="uk-UA"/>
              </w:rPr>
              <w:t>Бюджет</w:t>
            </w:r>
            <w:r w:rsidRPr="002F4B61">
              <w:rPr>
                <w:sz w:val="28"/>
                <w:szCs w:val="28"/>
                <w:lang w:val="uk-UA"/>
              </w:rPr>
              <w:t xml:space="preserve"> не отримає належного фінансування програм соціально-економічного розвитку.</w:t>
            </w:r>
          </w:p>
        </w:tc>
        <w:tc>
          <w:tcPr>
            <w:tcW w:w="1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980" w:rsidRPr="002F4B61" w:rsidRDefault="007F3E58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ED7180" w:rsidRDefault="00ED7180" w:rsidP="001844CE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255B45" w:rsidRPr="002F4B61" w:rsidRDefault="00255B45" w:rsidP="001844CE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F4B61">
        <w:rPr>
          <w:sz w:val="28"/>
          <w:szCs w:val="28"/>
          <w:lang w:val="uk-UA"/>
        </w:rPr>
        <w:t>V. Механізми та заходи, які забезпечать розв'язання визначеної проблеми</w:t>
      </w:r>
    </w:p>
    <w:p w:rsidR="003F0D8F" w:rsidRPr="002F4B61" w:rsidRDefault="003F0D8F" w:rsidP="001844CE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  <w:r w:rsidRPr="002F4B61">
        <w:rPr>
          <w:rStyle w:val="2"/>
          <w:rFonts w:ascii="Times New Roman" w:hAnsi="Times New Roman"/>
          <w:sz w:val="28"/>
          <w:szCs w:val="28"/>
          <w:lang w:val="uk-UA"/>
        </w:rPr>
        <w:t>1.</w:t>
      </w:r>
      <w:r w:rsidR="002B356A" w:rsidRPr="002F4B61">
        <w:rPr>
          <w:rStyle w:val="2"/>
          <w:rFonts w:ascii="Times New Roman" w:hAnsi="Times New Roman"/>
          <w:sz w:val="28"/>
          <w:szCs w:val="28"/>
          <w:lang w:val="uk-UA"/>
        </w:rPr>
        <w:t xml:space="preserve"> Оприлюднення проекту рішення</w:t>
      </w:r>
      <w:r w:rsidR="00ED7180">
        <w:rPr>
          <w:rStyle w:val="2"/>
          <w:rFonts w:ascii="Times New Roman" w:hAnsi="Times New Roman"/>
          <w:sz w:val="28"/>
          <w:szCs w:val="28"/>
          <w:lang w:val="uk-UA"/>
        </w:rPr>
        <w:t xml:space="preserve"> Степанківської сільської ради</w:t>
      </w:r>
      <w:r w:rsidR="002B356A" w:rsidRPr="002F4B61">
        <w:rPr>
          <w:rStyle w:val="2"/>
          <w:rFonts w:ascii="Times New Roman" w:hAnsi="Times New Roman"/>
          <w:sz w:val="28"/>
          <w:szCs w:val="28"/>
          <w:lang w:val="uk-UA"/>
        </w:rPr>
        <w:t xml:space="preserve"> «</w:t>
      </w:r>
      <w:r w:rsidR="00ED7180">
        <w:rPr>
          <w:rFonts w:ascii="Times New Roman" w:hAnsi="Times New Roman"/>
          <w:sz w:val="28"/>
          <w:szCs w:val="28"/>
          <w:lang w:val="uk-UA"/>
        </w:rPr>
        <w:t>Про встановлення Є</w:t>
      </w:r>
      <w:r w:rsidR="00F01E3E" w:rsidRPr="00ED7180">
        <w:rPr>
          <w:rFonts w:ascii="Times New Roman" w:hAnsi="Times New Roman"/>
          <w:sz w:val="28"/>
          <w:szCs w:val="28"/>
          <w:lang w:val="uk-UA"/>
        </w:rPr>
        <w:t xml:space="preserve">диного податку </w:t>
      </w:r>
      <w:r w:rsidR="00ED7180">
        <w:rPr>
          <w:rFonts w:ascii="Times New Roman" w:hAnsi="Times New Roman"/>
          <w:noProof/>
          <w:sz w:val="28"/>
          <w:szCs w:val="28"/>
          <w:lang w:val="uk-UA"/>
        </w:rPr>
        <w:t>та затвердження відповідного Положення на 2020 рік</w:t>
      </w:r>
      <w:r w:rsidR="002B356A" w:rsidRPr="002F4B61">
        <w:rPr>
          <w:rStyle w:val="2"/>
          <w:rFonts w:ascii="Times New Roman" w:hAnsi="Times New Roman"/>
          <w:sz w:val="28"/>
          <w:szCs w:val="28"/>
          <w:lang w:val="uk-UA"/>
        </w:rPr>
        <w:t>»</w:t>
      </w:r>
      <w:r w:rsidRPr="002F4B61">
        <w:rPr>
          <w:rStyle w:val="2"/>
          <w:rFonts w:ascii="Times New Roman" w:hAnsi="Times New Roman"/>
          <w:sz w:val="28"/>
          <w:szCs w:val="28"/>
          <w:lang w:val="uk-UA"/>
        </w:rPr>
        <w:t xml:space="preserve"> з метою отримання зауважень та пропозицій.</w:t>
      </w:r>
    </w:p>
    <w:p w:rsidR="00F01E3E" w:rsidRPr="002F4B61" w:rsidRDefault="00F01E3E" w:rsidP="001844CE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  <w:r w:rsidRPr="002F4B61">
        <w:rPr>
          <w:rStyle w:val="2"/>
          <w:rFonts w:ascii="Times New Roman" w:hAnsi="Times New Roman"/>
          <w:sz w:val="28"/>
          <w:szCs w:val="28"/>
          <w:lang w:val="uk-UA"/>
        </w:rPr>
        <w:t xml:space="preserve">2. Аналіз та моніторинг діючих ставок оподаткування по </w:t>
      </w:r>
      <w:r w:rsidR="00ED7180">
        <w:rPr>
          <w:rStyle w:val="2"/>
          <w:rFonts w:ascii="Times New Roman" w:hAnsi="Times New Roman"/>
          <w:sz w:val="28"/>
          <w:szCs w:val="28"/>
          <w:lang w:val="uk-UA"/>
        </w:rPr>
        <w:t>об’єднаних територіальних громадах Черкаської</w:t>
      </w:r>
      <w:r w:rsidRPr="002F4B61">
        <w:rPr>
          <w:rStyle w:val="2"/>
          <w:rFonts w:ascii="Times New Roman" w:hAnsi="Times New Roman"/>
          <w:sz w:val="28"/>
          <w:szCs w:val="28"/>
          <w:lang w:val="uk-UA"/>
        </w:rPr>
        <w:t xml:space="preserve"> області у 2019 році.</w:t>
      </w:r>
    </w:p>
    <w:p w:rsidR="00F01E3E" w:rsidRPr="002F4B61" w:rsidRDefault="00F01E3E" w:rsidP="001844CE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  <w:r w:rsidRPr="002F4B61">
        <w:rPr>
          <w:rStyle w:val="2"/>
          <w:rFonts w:ascii="Times New Roman" w:hAnsi="Times New Roman"/>
          <w:sz w:val="28"/>
          <w:szCs w:val="28"/>
          <w:lang w:val="uk-UA"/>
        </w:rPr>
        <w:t>3. Отримання пропозицій щодо встановлення ставок оподаткування.</w:t>
      </w:r>
    </w:p>
    <w:p w:rsidR="00F01E3E" w:rsidRDefault="00F01E3E" w:rsidP="001844CE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  <w:r w:rsidRPr="002F4B61">
        <w:rPr>
          <w:rStyle w:val="2"/>
          <w:rFonts w:ascii="Times New Roman" w:hAnsi="Times New Roman"/>
          <w:sz w:val="28"/>
          <w:szCs w:val="28"/>
          <w:lang w:val="uk-UA"/>
        </w:rPr>
        <w:t>4.  Встановлення ставок єдиного податку.</w:t>
      </w:r>
    </w:p>
    <w:p w:rsidR="00ED7180" w:rsidRPr="002F4B61" w:rsidRDefault="00ED7180" w:rsidP="001844CE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</w:p>
    <w:p w:rsidR="003F0D8F" w:rsidRPr="002F4B61" w:rsidRDefault="003F0D8F" w:rsidP="001844CE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</w:p>
    <w:p w:rsidR="00255B45" w:rsidRPr="002F4B61" w:rsidRDefault="00255B45" w:rsidP="001844CE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F4B61">
        <w:rPr>
          <w:sz w:val="28"/>
          <w:szCs w:val="28"/>
          <w:lang w:val="uk-UA"/>
        </w:rPr>
        <w:lastRenderedPageBreak/>
        <w:t xml:space="preserve">VI. Оцінка виконання вимог регуляторного </w:t>
      </w:r>
      <w:proofErr w:type="spellStart"/>
      <w:r w:rsidRPr="002F4B61">
        <w:rPr>
          <w:sz w:val="28"/>
          <w:szCs w:val="28"/>
          <w:lang w:val="uk-UA"/>
        </w:rPr>
        <w:t>акта</w:t>
      </w:r>
      <w:proofErr w:type="spellEnd"/>
      <w:r w:rsidRPr="002F4B61">
        <w:rPr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255B45" w:rsidRPr="002F4B61" w:rsidRDefault="00255B45" w:rsidP="00DE2C1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F4B61">
        <w:rPr>
          <w:sz w:val="28"/>
          <w:szCs w:val="28"/>
          <w:lang w:val="uk-UA"/>
        </w:rPr>
        <w:t>Здійсн</w:t>
      </w:r>
      <w:r w:rsidR="00084D15" w:rsidRPr="002F4B61">
        <w:rPr>
          <w:sz w:val="28"/>
          <w:szCs w:val="28"/>
          <w:lang w:val="uk-UA"/>
        </w:rPr>
        <w:t>ено</w:t>
      </w:r>
      <w:r w:rsidRPr="002F4B61">
        <w:rPr>
          <w:sz w:val="28"/>
          <w:szCs w:val="28"/>
          <w:lang w:val="uk-UA"/>
        </w:rPr>
        <w:t xml:space="preserve"> розрахунок витрат на запровадження державного регулювання для суб'єктів малого підприємництва згідно з додатком 4 до Методики проведення аналізу впливу регуляторного </w:t>
      </w:r>
      <w:proofErr w:type="spellStart"/>
      <w:r w:rsidRPr="002F4B61">
        <w:rPr>
          <w:sz w:val="28"/>
          <w:szCs w:val="28"/>
          <w:lang w:val="uk-UA"/>
        </w:rPr>
        <w:t>акта</w:t>
      </w:r>
      <w:proofErr w:type="spellEnd"/>
      <w:r w:rsidRPr="002F4B61">
        <w:rPr>
          <w:sz w:val="28"/>
          <w:szCs w:val="28"/>
          <w:lang w:val="uk-UA"/>
        </w:rPr>
        <w:t xml:space="preserve"> (Тест малого підприємництва).</w:t>
      </w:r>
    </w:p>
    <w:p w:rsidR="00DE2C12" w:rsidRDefault="00DE2C12" w:rsidP="001844CE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255B45" w:rsidRPr="002F4B61" w:rsidRDefault="00255B45" w:rsidP="001844CE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F4B61">
        <w:rPr>
          <w:sz w:val="28"/>
          <w:szCs w:val="28"/>
          <w:lang w:val="uk-UA"/>
        </w:rPr>
        <w:t xml:space="preserve">VII. Обґрунтування запропонованого строку дії регуляторного </w:t>
      </w:r>
      <w:proofErr w:type="spellStart"/>
      <w:r w:rsidRPr="002F4B61">
        <w:rPr>
          <w:sz w:val="28"/>
          <w:szCs w:val="28"/>
          <w:lang w:val="uk-UA"/>
        </w:rPr>
        <w:t>акта</w:t>
      </w:r>
      <w:proofErr w:type="spellEnd"/>
    </w:p>
    <w:p w:rsidR="009F4C9F" w:rsidRPr="002F4B61" w:rsidRDefault="009F4C9F" w:rsidP="001844CE">
      <w:pPr>
        <w:spacing w:after="0" w:line="240" w:lineRule="auto"/>
        <w:ind w:firstLine="708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  <w:r w:rsidRPr="002F4B61">
        <w:rPr>
          <w:rStyle w:val="2"/>
          <w:rFonts w:ascii="Times New Roman" w:hAnsi="Times New Roman"/>
          <w:sz w:val="28"/>
          <w:szCs w:val="28"/>
          <w:lang w:val="uk-UA"/>
        </w:rPr>
        <w:t xml:space="preserve">На дію цього регуляторного </w:t>
      </w:r>
      <w:proofErr w:type="spellStart"/>
      <w:r w:rsidRPr="002F4B61">
        <w:rPr>
          <w:rStyle w:val="2"/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2F4B61">
        <w:rPr>
          <w:rStyle w:val="2"/>
          <w:rFonts w:ascii="Times New Roman" w:hAnsi="Times New Roman"/>
          <w:sz w:val="28"/>
          <w:szCs w:val="28"/>
          <w:lang w:val="uk-UA"/>
        </w:rPr>
        <w:t xml:space="preserve"> негативно можуть вплинути економічна  кри</w:t>
      </w:r>
      <w:r w:rsidR="00E50474" w:rsidRPr="002F4B61">
        <w:rPr>
          <w:rStyle w:val="2"/>
          <w:rFonts w:ascii="Times New Roman" w:hAnsi="Times New Roman"/>
          <w:sz w:val="28"/>
          <w:szCs w:val="28"/>
          <w:lang w:val="uk-UA"/>
        </w:rPr>
        <w:t xml:space="preserve">за, </w:t>
      </w:r>
      <w:r w:rsidRPr="002F4B61">
        <w:rPr>
          <w:rStyle w:val="2"/>
          <w:rFonts w:ascii="Times New Roman" w:hAnsi="Times New Roman"/>
          <w:sz w:val="28"/>
          <w:szCs w:val="28"/>
          <w:lang w:val="uk-UA"/>
        </w:rPr>
        <w:t>значні т</w:t>
      </w:r>
      <w:r w:rsidR="00E50474" w:rsidRPr="002F4B61">
        <w:rPr>
          <w:rStyle w:val="2"/>
          <w:rFonts w:ascii="Times New Roman" w:hAnsi="Times New Roman"/>
          <w:sz w:val="28"/>
          <w:szCs w:val="28"/>
          <w:lang w:val="uk-UA"/>
        </w:rPr>
        <w:t>емпи інфляції,</w:t>
      </w:r>
      <w:r w:rsidR="00E50474" w:rsidRPr="002F4B61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E50474" w:rsidRPr="002F4B61">
        <w:rPr>
          <w:rStyle w:val="2"/>
          <w:rFonts w:ascii="Times New Roman" w:hAnsi="Times New Roman"/>
          <w:sz w:val="28"/>
          <w:szCs w:val="28"/>
          <w:lang w:val="uk-UA"/>
        </w:rPr>
        <w:t xml:space="preserve">ізке </w:t>
      </w:r>
      <w:proofErr w:type="spellStart"/>
      <w:r w:rsidR="00E50474" w:rsidRPr="002F4B61">
        <w:rPr>
          <w:rStyle w:val="2"/>
          <w:rFonts w:ascii="Times New Roman" w:hAnsi="Times New Roman"/>
          <w:sz w:val="28"/>
          <w:szCs w:val="28"/>
          <w:lang w:val="uk-UA"/>
        </w:rPr>
        <w:t>здорожчання</w:t>
      </w:r>
      <w:proofErr w:type="spellEnd"/>
      <w:r w:rsidR="00E50474" w:rsidRPr="002F4B61">
        <w:rPr>
          <w:rStyle w:val="2"/>
          <w:rFonts w:ascii="Times New Roman" w:hAnsi="Times New Roman"/>
          <w:sz w:val="28"/>
          <w:szCs w:val="28"/>
          <w:lang w:val="uk-UA"/>
        </w:rPr>
        <w:t xml:space="preserve"> тарифів на енергоносії та продукти харчування при незмінному розмірі мінімальної заробітної плати. Ці фактори впливають на рівень платоспроможності населення та призводять до закриття підприємницької діяльності.</w:t>
      </w:r>
    </w:p>
    <w:p w:rsidR="007F44D5" w:rsidRPr="002F4B61" w:rsidRDefault="009F4C9F" w:rsidP="001844CE">
      <w:pPr>
        <w:spacing w:after="0" w:line="240" w:lineRule="auto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  <w:r w:rsidRPr="002F4B61">
        <w:rPr>
          <w:rStyle w:val="2"/>
          <w:rFonts w:ascii="Times New Roman" w:hAnsi="Times New Roman"/>
          <w:sz w:val="28"/>
          <w:szCs w:val="28"/>
          <w:lang w:val="uk-UA"/>
        </w:rPr>
        <w:tab/>
        <w:t xml:space="preserve">Позитивно на дію цього регуляторного </w:t>
      </w:r>
      <w:proofErr w:type="spellStart"/>
      <w:r w:rsidRPr="002F4B61">
        <w:rPr>
          <w:rStyle w:val="2"/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2F4B61">
        <w:rPr>
          <w:rStyle w:val="2"/>
          <w:rFonts w:ascii="Times New Roman" w:hAnsi="Times New Roman"/>
          <w:sz w:val="28"/>
          <w:szCs w:val="28"/>
          <w:lang w:val="uk-UA"/>
        </w:rPr>
        <w:t xml:space="preserve"> може вплинути економічна стабільність в країні та підвищення темпів росту ВВП. Вихід з «тіні» бізнесу сприятиме збільшенню надходжень до бюджетів усіх рівнів.</w:t>
      </w:r>
    </w:p>
    <w:p w:rsidR="009F4C9F" w:rsidRPr="002F4B61" w:rsidRDefault="00E50474" w:rsidP="001844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4B61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="004B0F4E" w:rsidRPr="002F4B61">
        <w:rPr>
          <w:rFonts w:ascii="Times New Roman" w:hAnsi="Times New Roman"/>
          <w:sz w:val="28"/>
          <w:szCs w:val="28"/>
        </w:rPr>
        <w:t>Згідно</w:t>
      </w:r>
      <w:proofErr w:type="spellEnd"/>
      <w:r w:rsidR="004B0F4E" w:rsidRPr="002F4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F4E" w:rsidRPr="002F4B61">
        <w:rPr>
          <w:rFonts w:ascii="Times New Roman" w:hAnsi="Times New Roman"/>
          <w:sz w:val="28"/>
          <w:szCs w:val="28"/>
        </w:rPr>
        <w:t>вимог</w:t>
      </w:r>
      <w:proofErr w:type="spellEnd"/>
      <w:r w:rsidR="004B0F4E" w:rsidRPr="002F4B61"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 w:rsidR="004B0F4E" w:rsidRPr="002F4B61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="004B0F4E" w:rsidRPr="002F4B61">
        <w:rPr>
          <w:rFonts w:ascii="Times New Roman" w:hAnsi="Times New Roman"/>
          <w:sz w:val="28"/>
          <w:szCs w:val="28"/>
        </w:rPr>
        <w:t xml:space="preserve"> строк </w:t>
      </w:r>
      <w:proofErr w:type="spellStart"/>
      <w:r w:rsidR="004B0F4E" w:rsidRPr="002F4B61">
        <w:rPr>
          <w:rFonts w:ascii="Times New Roman" w:hAnsi="Times New Roman"/>
          <w:sz w:val="28"/>
          <w:szCs w:val="28"/>
        </w:rPr>
        <w:t>дії</w:t>
      </w:r>
      <w:proofErr w:type="spellEnd"/>
      <w:r w:rsidR="004B0F4E" w:rsidRPr="002F4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F4E" w:rsidRPr="002F4B61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="004B0F4E" w:rsidRPr="002F4B61">
        <w:rPr>
          <w:rFonts w:ascii="Times New Roman" w:hAnsi="Times New Roman"/>
          <w:sz w:val="28"/>
          <w:szCs w:val="28"/>
        </w:rPr>
        <w:t xml:space="preserve"> регуляторного акта </w:t>
      </w:r>
      <w:proofErr w:type="spellStart"/>
      <w:r w:rsidR="004B0F4E" w:rsidRPr="002F4B61">
        <w:rPr>
          <w:rFonts w:ascii="Times New Roman" w:hAnsi="Times New Roman"/>
          <w:sz w:val="28"/>
          <w:szCs w:val="28"/>
        </w:rPr>
        <w:t>обмежений</w:t>
      </w:r>
      <w:proofErr w:type="spellEnd"/>
      <w:r w:rsidR="004B0F4E" w:rsidRPr="002F4B61">
        <w:rPr>
          <w:rFonts w:ascii="Times New Roman" w:hAnsi="Times New Roman"/>
          <w:sz w:val="28"/>
          <w:szCs w:val="28"/>
        </w:rPr>
        <w:t xml:space="preserve">. Строк </w:t>
      </w:r>
      <w:proofErr w:type="spellStart"/>
      <w:r w:rsidR="004B0F4E" w:rsidRPr="002F4B61">
        <w:rPr>
          <w:rFonts w:ascii="Times New Roman" w:hAnsi="Times New Roman"/>
          <w:sz w:val="28"/>
          <w:szCs w:val="28"/>
        </w:rPr>
        <w:t>дії</w:t>
      </w:r>
      <w:proofErr w:type="spellEnd"/>
      <w:r w:rsidR="004B0F4E" w:rsidRPr="002F4B61">
        <w:rPr>
          <w:rFonts w:ascii="Times New Roman" w:hAnsi="Times New Roman"/>
          <w:sz w:val="28"/>
          <w:szCs w:val="28"/>
        </w:rPr>
        <w:t xml:space="preserve"> регуляторного акта з 01.01.20</w:t>
      </w:r>
      <w:r w:rsidR="00F01E3E" w:rsidRPr="002F4B61">
        <w:rPr>
          <w:rFonts w:ascii="Times New Roman" w:hAnsi="Times New Roman"/>
          <w:sz w:val="28"/>
          <w:szCs w:val="28"/>
          <w:lang w:val="uk-UA"/>
        </w:rPr>
        <w:t>20</w:t>
      </w:r>
      <w:r w:rsidR="004B0F4E" w:rsidRPr="002F4B61">
        <w:rPr>
          <w:rFonts w:ascii="Times New Roman" w:hAnsi="Times New Roman"/>
          <w:sz w:val="28"/>
          <w:szCs w:val="28"/>
        </w:rPr>
        <w:t xml:space="preserve"> року по 31.12.20</w:t>
      </w:r>
      <w:r w:rsidR="00F01E3E" w:rsidRPr="002F4B61">
        <w:rPr>
          <w:rFonts w:ascii="Times New Roman" w:hAnsi="Times New Roman"/>
          <w:sz w:val="28"/>
          <w:szCs w:val="28"/>
          <w:lang w:val="uk-UA"/>
        </w:rPr>
        <w:t>20</w:t>
      </w:r>
      <w:r w:rsidR="004B0F4E" w:rsidRPr="002F4B61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="004B0F4E" w:rsidRPr="002F4B61">
        <w:rPr>
          <w:rFonts w:ascii="Times New Roman" w:hAnsi="Times New Roman"/>
          <w:sz w:val="28"/>
          <w:szCs w:val="28"/>
        </w:rPr>
        <w:t>із</w:t>
      </w:r>
      <w:proofErr w:type="spellEnd"/>
      <w:r w:rsidR="004B0F4E" w:rsidRPr="002F4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F4E" w:rsidRPr="002F4B61">
        <w:rPr>
          <w:rFonts w:ascii="Times New Roman" w:hAnsi="Times New Roman"/>
          <w:sz w:val="28"/>
          <w:szCs w:val="28"/>
        </w:rPr>
        <w:t>можливістю</w:t>
      </w:r>
      <w:proofErr w:type="spellEnd"/>
      <w:r w:rsidR="004B0F4E" w:rsidRPr="002F4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F4E" w:rsidRPr="002F4B61">
        <w:rPr>
          <w:rFonts w:ascii="Times New Roman" w:hAnsi="Times New Roman"/>
          <w:sz w:val="28"/>
          <w:szCs w:val="28"/>
        </w:rPr>
        <w:t>внесення</w:t>
      </w:r>
      <w:proofErr w:type="spellEnd"/>
      <w:r w:rsidR="004B0F4E" w:rsidRPr="002F4B6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4B0F4E" w:rsidRPr="002F4B61">
        <w:rPr>
          <w:rFonts w:ascii="Times New Roman" w:hAnsi="Times New Roman"/>
          <w:sz w:val="28"/>
          <w:szCs w:val="28"/>
        </w:rPr>
        <w:t>нього</w:t>
      </w:r>
      <w:proofErr w:type="spellEnd"/>
      <w:r w:rsidR="004B0F4E" w:rsidRPr="002F4B61">
        <w:rPr>
          <w:rFonts w:ascii="Times New Roman" w:hAnsi="Times New Roman"/>
          <w:sz w:val="28"/>
          <w:szCs w:val="28"/>
        </w:rPr>
        <w:t xml:space="preserve"> </w:t>
      </w:r>
      <w:r w:rsidR="007F317F" w:rsidRPr="002F4B61">
        <w:rPr>
          <w:rFonts w:ascii="Times New Roman" w:hAnsi="Times New Roman"/>
          <w:sz w:val="28"/>
          <w:szCs w:val="28"/>
          <w:lang w:val="uk-UA"/>
        </w:rPr>
        <w:t xml:space="preserve">змін </w:t>
      </w:r>
      <w:r w:rsidR="004B0F4E" w:rsidRPr="002F4B6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4B0F4E" w:rsidRPr="002F4B61">
        <w:rPr>
          <w:rFonts w:ascii="Times New Roman" w:hAnsi="Times New Roman"/>
          <w:sz w:val="28"/>
          <w:szCs w:val="28"/>
        </w:rPr>
        <w:t>його</w:t>
      </w:r>
      <w:proofErr w:type="spellEnd"/>
      <w:r w:rsidR="004B0F4E" w:rsidRPr="002F4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F4E" w:rsidRPr="002F4B61">
        <w:rPr>
          <w:rFonts w:ascii="Times New Roman" w:hAnsi="Times New Roman"/>
          <w:sz w:val="28"/>
          <w:szCs w:val="28"/>
        </w:rPr>
        <w:t>відміни</w:t>
      </w:r>
      <w:proofErr w:type="spellEnd"/>
      <w:r w:rsidR="004B0F4E" w:rsidRPr="002F4B6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4B0F4E" w:rsidRPr="002F4B61">
        <w:rPr>
          <w:rFonts w:ascii="Times New Roman" w:hAnsi="Times New Roman"/>
          <w:sz w:val="28"/>
          <w:szCs w:val="28"/>
        </w:rPr>
        <w:t>разі</w:t>
      </w:r>
      <w:proofErr w:type="spellEnd"/>
      <w:r w:rsidR="004B0F4E" w:rsidRPr="002F4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F4E" w:rsidRPr="002F4B61">
        <w:rPr>
          <w:rFonts w:ascii="Times New Roman" w:hAnsi="Times New Roman"/>
          <w:sz w:val="28"/>
          <w:szCs w:val="28"/>
        </w:rPr>
        <w:t>зміни</w:t>
      </w:r>
      <w:proofErr w:type="spellEnd"/>
      <w:r w:rsidR="004B0F4E" w:rsidRPr="002F4B61"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 w:rsidR="004B0F4E" w:rsidRPr="002F4B61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="004B0F4E" w:rsidRPr="002F4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F4E" w:rsidRPr="002F4B61">
        <w:rPr>
          <w:rFonts w:ascii="Times New Roman" w:hAnsi="Times New Roman"/>
          <w:sz w:val="28"/>
          <w:szCs w:val="28"/>
        </w:rPr>
        <w:t>чи</w:t>
      </w:r>
      <w:proofErr w:type="spellEnd"/>
      <w:r w:rsidR="004B0F4E" w:rsidRPr="002F4B6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B0F4E" w:rsidRPr="002F4B61">
        <w:rPr>
          <w:rFonts w:ascii="Times New Roman" w:hAnsi="Times New Roman"/>
          <w:sz w:val="28"/>
          <w:szCs w:val="28"/>
        </w:rPr>
        <w:t>інших</w:t>
      </w:r>
      <w:proofErr w:type="spellEnd"/>
      <w:r w:rsidR="004B0F4E" w:rsidRPr="002F4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F4E" w:rsidRPr="002F4B61">
        <w:rPr>
          <w:rFonts w:ascii="Times New Roman" w:hAnsi="Times New Roman"/>
          <w:sz w:val="28"/>
          <w:szCs w:val="28"/>
        </w:rPr>
        <w:t>необхідних</w:t>
      </w:r>
      <w:proofErr w:type="spellEnd"/>
      <w:r w:rsidR="004B0F4E" w:rsidRPr="002F4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0F4E" w:rsidRPr="002F4B61">
        <w:rPr>
          <w:rFonts w:ascii="Times New Roman" w:hAnsi="Times New Roman"/>
          <w:sz w:val="28"/>
          <w:szCs w:val="28"/>
        </w:rPr>
        <w:t>випадках</w:t>
      </w:r>
      <w:proofErr w:type="spellEnd"/>
      <w:r w:rsidR="004B0F4E" w:rsidRPr="002F4B61">
        <w:rPr>
          <w:rFonts w:ascii="Times New Roman" w:hAnsi="Times New Roman"/>
          <w:sz w:val="28"/>
          <w:szCs w:val="28"/>
        </w:rPr>
        <w:t>.</w:t>
      </w:r>
      <w:r w:rsidR="009F4C9F" w:rsidRPr="002F4B61">
        <w:rPr>
          <w:rFonts w:ascii="Times New Roman" w:hAnsi="Times New Roman"/>
          <w:sz w:val="28"/>
          <w:szCs w:val="28"/>
        </w:rPr>
        <w:tab/>
      </w:r>
    </w:p>
    <w:p w:rsidR="00DE2C12" w:rsidRDefault="00DE2C12" w:rsidP="001844CE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255B45" w:rsidRPr="002F4B61" w:rsidRDefault="00255B45" w:rsidP="001844CE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F4B61">
        <w:rPr>
          <w:sz w:val="28"/>
          <w:szCs w:val="28"/>
          <w:lang w:val="uk-UA"/>
        </w:rPr>
        <w:t xml:space="preserve">VIII. Визначення показників результативності дії регуляторного </w:t>
      </w:r>
      <w:proofErr w:type="spellStart"/>
      <w:r w:rsidRPr="002F4B61">
        <w:rPr>
          <w:sz w:val="28"/>
          <w:szCs w:val="28"/>
          <w:lang w:val="uk-UA"/>
        </w:rPr>
        <w:t>акта</w:t>
      </w:r>
      <w:proofErr w:type="spellEnd"/>
    </w:p>
    <w:p w:rsidR="00802902" w:rsidRDefault="00802902" w:rsidP="001844CE">
      <w:pPr>
        <w:spacing w:after="0" w:line="240" w:lineRule="auto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  <w:r w:rsidRPr="002F4B61">
        <w:rPr>
          <w:rStyle w:val="2"/>
          <w:rFonts w:ascii="Times New Roman" w:hAnsi="Times New Roman"/>
          <w:sz w:val="28"/>
          <w:szCs w:val="28"/>
          <w:lang w:val="uk-UA"/>
        </w:rPr>
        <w:t>Виходячи з цілей державного регулювання,</w:t>
      </w:r>
      <w:r w:rsidR="003D1F19" w:rsidRPr="002F4B61">
        <w:rPr>
          <w:rStyle w:val="2"/>
          <w:rFonts w:ascii="Times New Roman" w:hAnsi="Times New Roman"/>
          <w:sz w:val="28"/>
          <w:szCs w:val="28"/>
          <w:lang w:val="uk-UA"/>
        </w:rPr>
        <w:t xml:space="preserve"> визначених у другому розділі аналізу регуляторного впливу</w:t>
      </w:r>
      <w:r w:rsidRPr="002F4B61">
        <w:rPr>
          <w:rStyle w:val="2"/>
          <w:rFonts w:ascii="Times New Roman" w:hAnsi="Times New Roman"/>
          <w:sz w:val="28"/>
          <w:szCs w:val="28"/>
          <w:lang w:val="uk-UA"/>
        </w:rPr>
        <w:t xml:space="preserve">, для відстеження результативності цього регуляторного </w:t>
      </w:r>
      <w:proofErr w:type="spellStart"/>
      <w:r w:rsidRPr="002F4B61">
        <w:rPr>
          <w:rStyle w:val="2"/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2F4B61">
        <w:rPr>
          <w:rStyle w:val="2"/>
          <w:rFonts w:ascii="Times New Roman" w:hAnsi="Times New Roman"/>
          <w:sz w:val="28"/>
          <w:szCs w:val="28"/>
          <w:lang w:val="uk-UA"/>
        </w:rPr>
        <w:t xml:space="preserve"> обрано такі прогнозні показники:</w:t>
      </w:r>
    </w:p>
    <w:p w:rsidR="00541325" w:rsidRPr="002F4B61" w:rsidRDefault="00541325" w:rsidP="001844CE">
      <w:pPr>
        <w:spacing w:after="0" w:line="240" w:lineRule="auto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2305"/>
        <w:gridCol w:w="2904"/>
      </w:tblGrid>
      <w:tr w:rsidR="00802902" w:rsidRPr="002F4B61" w:rsidTr="003D1F19">
        <w:tc>
          <w:tcPr>
            <w:tcW w:w="4250" w:type="dxa"/>
            <w:shd w:val="clear" w:color="auto" w:fill="auto"/>
            <w:vAlign w:val="center"/>
          </w:tcPr>
          <w:p w:rsidR="00802902" w:rsidRPr="002F4B61" w:rsidRDefault="00802902" w:rsidP="001844CE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</w:pPr>
            <w:r w:rsidRPr="002F4B6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02902" w:rsidRPr="002F4B61" w:rsidRDefault="00AE1541" w:rsidP="001844CE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</w:pPr>
            <w:r w:rsidRPr="002F4B6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89735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F01E3E" w:rsidRPr="002F4B6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02902" w:rsidRPr="002F4B6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75677B" w:rsidRPr="002F4B6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ік</w:t>
            </w:r>
            <w:r w:rsidR="00802902" w:rsidRPr="002F4B6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B16C4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(факт)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802902" w:rsidRPr="002F4B61" w:rsidRDefault="00897351" w:rsidP="001844CE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2019</w:t>
            </w:r>
            <w:r w:rsidR="0075677B" w:rsidRPr="002F4B6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02902" w:rsidRPr="002F4B6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75677B" w:rsidRPr="002F4B6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ік</w:t>
            </w:r>
            <w:r w:rsidR="005B16C4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 xml:space="preserve"> (план)</w:t>
            </w:r>
          </w:p>
        </w:tc>
      </w:tr>
      <w:tr w:rsidR="000E293D" w:rsidRPr="002F4B61" w:rsidTr="003D1F19">
        <w:tc>
          <w:tcPr>
            <w:tcW w:w="4250" w:type="dxa"/>
            <w:shd w:val="clear" w:color="auto" w:fill="auto"/>
            <w:vAlign w:val="center"/>
          </w:tcPr>
          <w:p w:rsidR="000E293D" w:rsidRPr="002F4B61" w:rsidRDefault="000E293D" w:rsidP="00541325">
            <w:pPr>
              <w:tabs>
                <w:tab w:val="left" w:pos="313"/>
              </w:tabs>
              <w:spacing w:after="0" w:line="240" w:lineRule="auto"/>
              <w:jc w:val="center"/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</w:pPr>
            <w:r w:rsidRPr="002F4B6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 xml:space="preserve">Надходження до бюджету </w:t>
            </w:r>
            <w:r w:rsidR="0089735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 xml:space="preserve">об’єднаної територіальної громади </w:t>
            </w:r>
            <w:r w:rsidRPr="002F4B6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єдиного податк</w:t>
            </w:r>
            <w:r w:rsidR="0089735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у від всіх груп платників (</w:t>
            </w:r>
            <w:r w:rsidRPr="002F4B6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грн.)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E293D" w:rsidRPr="002F4B61" w:rsidRDefault="005B16C4" w:rsidP="001844CE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3437710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0E293D" w:rsidRPr="005B16C4" w:rsidRDefault="005B16C4" w:rsidP="001844CE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3697840</w:t>
            </w:r>
          </w:p>
        </w:tc>
      </w:tr>
      <w:tr w:rsidR="000E293D" w:rsidRPr="002F4B61" w:rsidTr="003D1F19">
        <w:tc>
          <w:tcPr>
            <w:tcW w:w="4250" w:type="dxa"/>
            <w:shd w:val="clear" w:color="auto" w:fill="auto"/>
          </w:tcPr>
          <w:p w:rsidR="000E293D" w:rsidRPr="002F4B61" w:rsidRDefault="005B16C4" w:rsidP="00541325">
            <w:pPr>
              <w:pStyle w:val="a7"/>
              <w:spacing w:after="0"/>
              <w:ind w:left="0"/>
              <w:jc w:val="center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Надходження до </w:t>
            </w:r>
            <w:r w:rsidR="000E293D" w:rsidRPr="002F4B61">
              <w:rPr>
                <w:sz w:val="28"/>
                <w:szCs w:val="28"/>
                <w:lang w:val="uk-UA" w:eastAsia="ru-RU"/>
              </w:rPr>
              <w:t>бюджету</w:t>
            </w:r>
            <w:r>
              <w:rPr>
                <w:sz w:val="28"/>
                <w:szCs w:val="28"/>
                <w:lang w:val="uk-UA" w:eastAsia="ru-RU"/>
              </w:rPr>
              <w:t xml:space="preserve"> об’єднаної територіальної громади</w:t>
            </w:r>
            <w:r w:rsidR="000E293D" w:rsidRPr="002F4B61">
              <w:rPr>
                <w:sz w:val="28"/>
                <w:szCs w:val="28"/>
                <w:lang w:val="uk-UA" w:eastAsia="ru-RU"/>
              </w:rPr>
              <w:t xml:space="preserve"> єдиного податку від платників І-ІІ груп </w:t>
            </w:r>
            <w:r>
              <w:rPr>
                <w:bCs/>
                <w:sz w:val="28"/>
                <w:szCs w:val="28"/>
                <w:lang w:val="uk-UA" w:eastAsia="ru-RU"/>
              </w:rPr>
              <w:t>(</w:t>
            </w:r>
            <w:r w:rsidR="000E293D" w:rsidRPr="002F4B61">
              <w:rPr>
                <w:bCs/>
                <w:sz w:val="28"/>
                <w:szCs w:val="28"/>
                <w:lang w:val="uk-UA" w:eastAsia="ru-RU"/>
              </w:rPr>
              <w:t>грн.)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E293D" w:rsidRPr="002F4B61" w:rsidRDefault="005B16C4" w:rsidP="001844CE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370000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0E293D" w:rsidRPr="002F4B61" w:rsidRDefault="005B16C4" w:rsidP="001844CE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397750</w:t>
            </w:r>
          </w:p>
        </w:tc>
      </w:tr>
      <w:tr w:rsidR="000E293D" w:rsidRPr="002F4B61" w:rsidTr="003D1F19">
        <w:tc>
          <w:tcPr>
            <w:tcW w:w="4250" w:type="dxa"/>
            <w:shd w:val="clear" w:color="auto" w:fill="auto"/>
          </w:tcPr>
          <w:p w:rsidR="000E293D" w:rsidRPr="002F4B61" w:rsidRDefault="000E293D" w:rsidP="00541325">
            <w:pPr>
              <w:pStyle w:val="a7"/>
              <w:spacing w:after="0"/>
              <w:ind w:left="0"/>
              <w:jc w:val="center"/>
              <w:rPr>
                <w:sz w:val="28"/>
                <w:szCs w:val="28"/>
                <w:lang w:val="uk-UA" w:eastAsia="ru-RU"/>
              </w:rPr>
            </w:pPr>
            <w:r w:rsidRPr="002F4B61">
              <w:rPr>
                <w:sz w:val="28"/>
                <w:szCs w:val="28"/>
                <w:lang w:val="uk-UA" w:eastAsia="ru-RU"/>
              </w:rPr>
              <w:t>Загальна кількість платників єдиного податку</w:t>
            </w:r>
            <w:r w:rsidR="005B16C4">
              <w:rPr>
                <w:sz w:val="28"/>
                <w:szCs w:val="28"/>
                <w:lang w:val="uk-UA" w:eastAsia="ru-RU"/>
              </w:rPr>
              <w:t xml:space="preserve"> фізичних осіб</w:t>
            </w:r>
            <w:r w:rsidRPr="002F4B61">
              <w:rPr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2F4B61">
              <w:rPr>
                <w:sz w:val="28"/>
                <w:szCs w:val="28"/>
                <w:lang w:val="uk-UA" w:eastAsia="ru-RU"/>
              </w:rPr>
              <w:t>чол</w:t>
            </w:r>
            <w:proofErr w:type="spellEnd"/>
            <w:r w:rsidRPr="002F4B61">
              <w:rPr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E293D" w:rsidRPr="002F4B61" w:rsidRDefault="005B16C4" w:rsidP="001844CE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0E293D" w:rsidRPr="005B16C4" w:rsidRDefault="005B16C4" w:rsidP="001844CE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</w:tr>
      <w:tr w:rsidR="000E293D" w:rsidRPr="002F4B61" w:rsidTr="003D1F19">
        <w:tc>
          <w:tcPr>
            <w:tcW w:w="4250" w:type="dxa"/>
            <w:shd w:val="clear" w:color="auto" w:fill="auto"/>
          </w:tcPr>
          <w:p w:rsidR="000E293D" w:rsidRPr="002F4B61" w:rsidRDefault="000E293D" w:rsidP="0054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F4B6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Кількість платників єдиного податку І-ІІ груп, </w:t>
            </w:r>
            <w:proofErr w:type="spellStart"/>
            <w:r w:rsidRPr="002F4B6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чол</w:t>
            </w:r>
            <w:proofErr w:type="spellEnd"/>
            <w:r w:rsidRPr="002F4B6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E293D" w:rsidRPr="002F4B61" w:rsidRDefault="005B16C4" w:rsidP="001844CE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0E293D" w:rsidRPr="002F4B61" w:rsidRDefault="005B16C4" w:rsidP="001844CE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293D" w:rsidRPr="002F4B61" w:rsidTr="003D1F19">
        <w:tc>
          <w:tcPr>
            <w:tcW w:w="4250" w:type="dxa"/>
            <w:shd w:val="clear" w:color="auto" w:fill="auto"/>
          </w:tcPr>
          <w:p w:rsidR="000E293D" w:rsidRPr="002F4B61" w:rsidRDefault="000E293D" w:rsidP="00541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F4B6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Витрати суб’єктів господарювання на адміністративні процедури щодо виконання регулювання та звітування </w:t>
            </w:r>
            <w:r w:rsidR="005B16C4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2F4B6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грн.)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E293D" w:rsidRPr="002F4B61" w:rsidRDefault="00541325" w:rsidP="001844CE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0E293D" w:rsidRPr="002F4B61" w:rsidRDefault="00541325" w:rsidP="001844CE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802902" w:rsidRPr="002F4B61" w:rsidTr="003D1F19">
        <w:tc>
          <w:tcPr>
            <w:tcW w:w="4250" w:type="dxa"/>
            <w:shd w:val="clear" w:color="auto" w:fill="auto"/>
          </w:tcPr>
          <w:p w:rsidR="00802902" w:rsidRPr="002F4B61" w:rsidRDefault="00802902" w:rsidP="00541325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</w:pPr>
            <w:r w:rsidRPr="002F4B6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Рівень поінформованості суб’єктів господарювання стосовно основних положень регуляторного </w:t>
            </w:r>
            <w:proofErr w:type="spellStart"/>
            <w:r w:rsidRPr="002F4B6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5321" w:type="dxa"/>
            <w:gridSpan w:val="2"/>
            <w:shd w:val="clear" w:color="auto" w:fill="auto"/>
          </w:tcPr>
          <w:p w:rsidR="00802902" w:rsidRPr="002F4B61" w:rsidRDefault="00802902" w:rsidP="00541325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</w:pPr>
            <w:r w:rsidRPr="002F4B6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оприлюднюється </w:t>
            </w:r>
            <w:r w:rsidR="003D1F19" w:rsidRPr="002F4B6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 xml:space="preserve">на офіційній сторінці </w:t>
            </w:r>
            <w:r w:rsidR="00541325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Степанківської сільської</w:t>
            </w:r>
            <w:r w:rsidR="003D1F19" w:rsidRPr="002F4B6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 xml:space="preserve"> ради в мережі Інтернет за </w:t>
            </w:r>
            <w:proofErr w:type="spellStart"/>
            <w:r w:rsidR="003D1F19" w:rsidRPr="002F4B6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3D1F19" w:rsidRPr="002F4B6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541325" w:rsidRPr="003F68B5">
              <w:rPr>
                <w:rFonts w:ascii="Times New Roman" w:hAnsi="Times New Roman"/>
                <w:sz w:val="28"/>
                <w:szCs w:val="28"/>
              </w:rPr>
              <w:t>https</w:t>
            </w:r>
            <w:proofErr w:type="spellEnd"/>
            <w:r w:rsidR="00541325" w:rsidRPr="003F68B5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proofErr w:type="spellStart"/>
            <w:r w:rsidR="00541325" w:rsidRPr="003F68B5">
              <w:rPr>
                <w:rFonts w:ascii="Times New Roman" w:hAnsi="Times New Roman"/>
                <w:sz w:val="28"/>
                <w:szCs w:val="28"/>
              </w:rPr>
              <w:t>stepankivska</w:t>
            </w:r>
            <w:proofErr w:type="spellEnd"/>
            <w:r w:rsidR="00541325" w:rsidRPr="003F68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="00541325" w:rsidRPr="003F68B5">
              <w:rPr>
                <w:rFonts w:ascii="Times New Roman" w:hAnsi="Times New Roman"/>
                <w:sz w:val="28"/>
                <w:szCs w:val="28"/>
              </w:rPr>
              <w:t>gr</w:t>
            </w:r>
            <w:proofErr w:type="spellEnd"/>
            <w:r w:rsidR="00541325" w:rsidRPr="003F68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="00541325" w:rsidRPr="003F68B5">
              <w:rPr>
                <w:rFonts w:ascii="Times New Roman" w:hAnsi="Times New Roman"/>
                <w:sz w:val="28"/>
                <w:szCs w:val="28"/>
              </w:rPr>
              <w:t>org</w:t>
            </w:r>
            <w:proofErr w:type="spellEnd"/>
            <w:r w:rsidR="00541325" w:rsidRPr="003F68B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="00541325" w:rsidRPr="003F68B5">
              <w:rPr>
                <w:rFonts w:ascii="Times New Roman" w:hAnsi="Times New Roman"/>
                <w:sz w:val="28"/>
                <w:szCs w:val="28"/>
              </w:rPr>
              <w:t>ua</w:t>
            </w:r>
            <w:proofErr w:type="spellEnd"/>
            <w:r w:rsidR="003E227A" w:rsidRPr="002F4B61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 xml:space="preserve"> та місцевих друкованих засобах масової інформації.</w:t>
            </w:r>
          </w:p>
          <w:p w:rsidR="00802902" w:rsidRPr="002F4B61" w:rsidRDefault="003D1F19" w:rsidP="00541325">
            <w:pPr>
              <w:spacing w:after="0" w:line="240" w:lineRule="auto"/>
              <w:jc w:val="center"/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</w:pPr>
            <w:r w:rsidRPr="002F4B61">
              <w:rPr>
                <w:rFonts w:ascii="Times New Roman" w:hAnsi="Times New Roman"/>
                <w:position w:val="-28"/>
                <w:sz w:val="28"/>
                <w:szCs w:val="28"/>
                <w:lang w:val="uk-UA"/>
              </w:rPr>
              <w:t>Один екзе</w:t>
            </w:r>
            <w:r w:rsidR="00DC3C50" w:rsidRPr="002F4B61">
              <w:rPr>
                <w:rFonts w:ascii="Times New Roman" w:hAnsi="Times New Roman"/>
                <w:position w:val="-28"/>
                <w:sz w:val="28"/>
                <w:szCs w:val="28"/>
                <w:lang w:val="uk-UA"/>
              </w:rPr>
              <w:t>мпляр надається до місцевого орга</w:t>
            </w:r>
            <w:r w:rsidRPr="002F4B61">
              <w:rPr>
                <w:rFonts w:ascii="Times New Roman" w:hAnsi="Times New Roman"/>
                <w:position w:val="-28"/>
                <w:sz w:val="28"/>
                <w:szCs w:val="28"/>
                <w:lang w:val="uk-UA"/>
              </w:rPr>
              <w:t>ну Державної фіскальної служби України.</w:t>
            </w:r>
          </w:p>
        </w:tc>
      </w:tr>
    </w:tbl>
    <w:p w:rsidR="00802902" w:rsidRPr="002F4B61" w:rsidRDefault="00802902" w:rsidP="001844CE">
      <w:pPr>
        <w:spacing w:after="0" w:line="240" w:lineRule="auto"/>
        <w:jc w:val="both"/>
        <w:rPr>
          <w:rStyle w:val="2"/>
          <w:rFonts w:ascii="Times New Roman" w:hAnsi="Times New Roman"/>
          <w:sz w:val="28"/>
          <w:szCs w:val="28"/>
          <w:lang w:val="uk-UA"/>
        </w:rPr>
      </w:pPr>
    </w:p>
    <w:p w:rsidR="00255B45" w:rsidRPr="002F4B61" w:rsidRDefault="00255B45" w:rsidP="001844CE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F4B61">
        <w:rPr>
          <w:sz w:val="28"/>
          <w:szCs w:val="28"/>
          <w:lang w:val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2F4B61">
        <w:rPr>
          <w:sz w:val="28"/>
          <w:szCs w:val="28"/>
          <w:lang w:val="uk-UA"/>
        </w:rPr>
        <w:t>акта</w:t>
      </w:r>
      <w:proofErr w:type="spellEnd"/>
    </w:p>
    <w:p w:rsidR="00474B57" w:rsidRPr="002F4B61" w:rsidRDefault="00137B70" w:rsidP="001844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F4B61">
        <w:rPr>
          <w:rFonts w:ascii="Times New Roman" w:hAnsi="Times New Roman"/>
          <w:sz w:val="28"/>
          <w:szCs w:val="28"/>
          <w:lang w:val="uk-UA"/>
        </w:rPr>
        <w:t>Базове відстеження результативності</w:t>
      </w:r>
      <w:r w:rsidR="00834089" w:rsidRPr="002F4B61">
        <w:rPr>
          <w:rFonts w:ascii="Times New Roman" w:hAnsi="Times New Roman"/>
          <w:sz w:val="28"/>
          <w:szCs w:val="28"/>
          <w:lang w:val="uk-UA"/>
        </w:rPr>
        <w:t xml:space="preserve"> дії регуляторного акту </w:t>
      </w:r>
      <w:r w:rsidRPr="002F4B61">
        <w:rPr>
          <w:rFonts w:ascii="Times New Roman" w:hAnsi="Times New Roman"/>
          <w:sz w:val="28"/>
          <w:szCs w:val="28"/>
          <w:lang w:val="uk-UA"/>
        </w:rPr>
        <w:t xml:space="preserve">здійснюватиметься до дати набрання чинності цього регуляторного </w:t>
      </w:r>
      <w:proofErr w:type="spellStart"/>
      <w:r w:rsidRPr="002F4B61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2F4B6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74B57" w:rsidRPr="002F4B61" w:rsidRDefault="00474B57" w:rsidP="001844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F4B61">
        <w:rPr>
          <w:rFonts w:ascii="Times New Roman" w:hAnsi="Times New Roman"/>
          <w:sz w:val="28"/>
          <w:szCs w:val="28"/>
          <w:lang w:val="uk-UA"/>
        </w:rPr>
        <w:t>Повторне відстеження результативності буде здійснено за три місяці до дня закінчення визначеного строку, але не пізніше дня закінчення визначеного строку.</w:t>
      </w:r>
    </w:p>
    <w:p w:rsidR="00834089" w:rsidRPr="002F4B61" w:rsidRDefault="00474B57" w:rsidP="001844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4B61">
        <w:rPr>
          <w:rFonts w:ascii="Times New Roman" w:hAnsi="Times New Roman"/>
          <w:sz w:val="28"/>
          <w:szCs w:val="28"/>
          <w:lang w:val="uk-UA"/>
        </w:rPr>
        <w:tab/>
      </w:r>
      <w:r w:rsidR="003E227A" w:rsidRPr="002F4B6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37B70" w:rsidRPr="002F4B61">
        <w:rPr>
          <w:rFonts w:ascii="Times New Roman" w:hAnsi="Times New Roman"/>
          <w:sz w:val="28"/>
          <w:szCs w:val="28"/>
          <w:lang w:val="uk-UA"/>
        </w:rPr>
        <w:t>З огляду на показники результативності, визначені в попередньому розділі</w:t>
      </w:r>
      <w:r w:rsidR="003D1F19" w:rsidRPr="002F4B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1F19" w:rsidRPr="002F4B61">
        <w:rPr>
          <w:rStyle w:val="2"/>
          <w:rFonts w:ascii="Times New Roman" w:hAnsi="Times New Roman"/>
          <w:sz w:val="28"/>
          <w:szCs w:val="28"/>
          <w:lang w:val="uk-UA"/>
        </w:rPr>
        <w:t>аналізу регуляторного впливу,</w:t>
      </w:r>
      <w:r w:rsidR="00137B70" w:rsidRPr="002F4B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1555" w:rsidRPr="002F4B61">
        <w:rPr>
          <w:rFonts w:ascii="Times New Roman" w:hAnsi="Times New Roman"/>
          <w:sz w:val="28"/>
          <w:szCs w:val="28"/>
          <w:lang w:val="uk-UA"/>
        </w:rPr>
        <w:t xml:space="preserve">відстеження буде </w:t>
      </w:r>
      <w:r w:rsidR="00834089" w:rsidRPr="002F4B61">
        <w:rPr>
          <w:rFonts w:ascii="Times New Roman" w:hAnsi="Times New Roman"/>
          <w:sz w:val="28"/>
          <w:szCs w:val="28"/>
          <w:lang w:val="uk-UA"/>
        </w:rPr>
        <w:t>проводитись</w:t>
      </w:r>
      <w:r w:rsidRPr="002F4B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4089" w:rsidRPr="002F4B61">
        <w:rPr>
          <w:rFonts w:ascii="Times New Roman" w:hAnsi="Times New Roman"/>
          <w:sz w:val="28"/>
          <w:szCs w:val="28"/>
          <w:lang w:val="uk-UA"/>
        </w:rPr>
        <w:t>за допомогою статистичного методу та шляхом опитування.</w:t>
      </w:r>
    </w:p>
    <w:p w:rsidR="00137B70" w:rsidRPr="002F4B61" w:rsidRDefault="00834089" w:rsidP="001844C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F4B61">
        <w:rPr>
          <w:rFonts w:ascii="Times New Roman" w:hAnsi="Times New Roman"/>
          <w:sz w:val="28"/>
          <w:szCs w:val="28"/>
          <w:lang w:val="uk-UA"/>
        </w:rPr>
        <w:t xml:space="preserve">        У рамках зазначених методів відстеження </w:t>
      </w:r>
      <w:r w:rsidR="004C03E4" w:rsidRPr="002F4B61">
        <w:rPr>
          <w:rFonts w:ascii="Times New Roman" w:hAnsi="Times New Roman"/>
          <w:sz w:val="28"/>
          <w:szCs w:val="28"/>
          <w:lang w:val="uk-UA"/>
        </w:rPr>
        <w:t xml:space="preserve">буде </w:t>
      </w:r>
      <w:r w:rsidRPr="002F4B61">
        <w:rPr>
          <w:rFonts w:ascii="Times New Roman" w:hAnsi="Times New Roman"/>
          <w:sz w:val="28"/>
          <w:szCs w:val="28"/>
          <w:lang w:val="uk-UA"/>
        </w:rPr>
        <w:t>проведено аналіз звітності про виконання дохідної частини бюджету</w:t>
      </w:r>
      <w:r w:rsidR="00BA75BD">
        <w:rPr>
          <w:rFonts w:ascii="Times New Roman" w:hAnsi="Times New Roman"/>
          <w:sz w:val="28"/>
          <w:szCs w:val="28"/>
          <w:lang w:val="uk-UA"/>
        </w:rPr>
        <w:t xml:space="preserve"> об’єднаної територіальної громади</w:t>
      </w:r>
      <w:r w:rsidRPr="002F4B61">
        <w:rPr>
          <w:rFonts w:ascii="Times New Roman" w:hAnsi="Times New Roman"/>
          <w:sz w:val="28"/>
          <w:szCs w:val="28"/>
          <w:lang w:val="uk-UA"/>
        </w:rPr>
        <w:t xml:space="preserve"> в частині інформації щодо </w:t>
      </w:r>
      <w:r w:rsidRPr="002F4B61">
        <w:rPr>
          <w:rStyle w:val="2"/>
          <w:rFonts w:ascii="Times New Roman" w:hAnsi="Times New Roman"/>
          <w:sz w:val="28"/>
          <w:szCs w:val="28"/>
          <w:lang w:val="uk-UA"/>
        </w:rPr>
        <w:t>розміру надходжень до бюджету</w:t>
      </w:r>
      <w:r w:rsidRPr="002F4B61">
        <w:rPr>
          <w:rFonts w:ascii="Times New Roman" w:hAnsi="Times New Roman"/>
          <w:sz w:val="28"/>
          <w:szCs w:val="28"/>
          <w:lang w:val="uk-UA"/>
        </w:rPr>
        <w:t>,</w:t>
      </w:r>
      <w:r w:rsidRPr="002F4B61">
        <w:rPr>
          <w:rStyle w:val="2"/>
          <w:rFonts w:ascii="Times New Roman" w:hAnsi="Times New Roman"/>
          <w:sz w:val="28"/>
          <w:szCs w:val="28"/>
          <w:lang w:val="uk-UA"/>
        </w:rPr>
        <w:t xml:space="preserve"> кількості осіб, на яких поширюватиметься дія </w:t>
      </w:r>
      <w:proofErr w:type="spellStart"/>
      <w:r w:rsidRPr="002F4B61">
        <w:rPr>
          <w:rStyle w:val="2"/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2F4B61">
        <w:rPr>
          <w:rFonts w:ascii="Times New Roman" w:hAnsi="Times New Roman"/>
          <w:sz w:val="28"/>
          <w:szCs w:val="28"/>
          <w:lang w:val="uk-UA"/>
        </w:rPr>
        <w:t>, а також розміру коштів і часу, що витрачатимуться суб’єктами господарювання на виконання вимог акту.</w:t>
      </w:r>
    </w:p>
    <w:p w:rsidR="00255B45" w:rsidRPr="002F4B61" w:rsidRDefault="00255B45" w:rsidP="001844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7451" w:rsidRPr="002F4B61" w:rsidRDefault="00407451" w:rsidP="001844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07451" w:rsidRDefault="00407451" w:rsidP="001844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75BD" w:rsidRDefault="00BA75BD" w:rsidP="001844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75BD" w:rsidRDefault="00BA75BD" w:rsidP="001844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75BD" w:rsidRDefault="00BA75BD" w:rsidP="001844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75BD" w:rsidRDefault="00BA75BD" w:rsidP="001844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75BD" w:rsidRDefault="00BA75BD" w:rsidP="001844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75BD" w:rsidRDefault="00BA75BD" w:rsidP="001844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75BD" w:rsidRDefault="00BA75BD" w:rsidP="001844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75BD" w:rsidRDefault="00BA75BD" w:rsidP="001844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75BD" w:rsidRDefault="00BA75BD" w:rsidP="001844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75BD" w:rsidRDefault="00BA75BD" w:rsidP="001844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75BD" w:rsidRDefault="00BA75BD" w:rsidP="001844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75BD" w:rsidRDefault="00BA75BD" w:rsidP="001844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75BD" w:rsidRDefault="00BA75BD" w:rsidP="001844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75BD" w:rsidRPr="002F4B61" w:rsidRDefault="00BA75BD" w:rsidP="001844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F29A1" w:rsidRPr="002F4B61" w:rsidRDefault="00BF29A1" w:rsidP="001844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9"/>
      </w:tblGrid>
      <w:tr w:rsidR="00255B45" w:rsidRPr="002F4B61" w:rsidTr="00255B45">
        <w:trPr>
          <w:tblCellSpacing w:w="22" w:type="dxa"/>
        </w:trPr>
        <w:tc>
          <w:tcPr>
            <w:tcW w:w="5000" w:type="pct"/>
          </w:tcPr>
          <w:p w:rsidR="00255B45" w:rsidRDefault="00255B45" w:rsidP="001844C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BA75BD" w:rsidRDefault="00BA75BD" w:rsidP="001844C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BA75BD" w:rsidRPr="002F4B61" w:rsidRDefault="00BA75BD" w:rsidP="001844C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</w:tbl>
    <w:p w:rsidR="00255B45" w:rsidRPr="002F4B61" w:rsidRDefault="00255B45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F4B61">
        <w:rPr>
          <w:sz w:val="28"/>
          <w:szCs w:val="28"/>
          <w:lang w:val="uk-UA"/>
        </w:rPr>
        <w:br w:type="textWrapping" w:clear="all"/>
      </w:r>
    </w:p>
    <w:p w:rsidR="00255B45" w:rsidRDefault="00255B45" w:rsidP="001844CE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F4B61">
        <w:rPr>
          <w:sz w:val="28"/>
          <w:szCs w:val="28"/>
          <w:lang w:val="uk-UA"/>
        </w:rPr>
        <w:lastRenderedPageBreak/>
        <w:t>ТЕСТ</w:t>
      </w:r>
      <w:r w:rsidRPr="002F4B61">
        <w:rPr>
          <w:sz w:val="28"/>
          <w:szCs w:val="28"/>
          <w:lang w:val="uk-UA"/>
        </w:rPr>
        <w:br/>
        <w:t>малого підприємництва (М-Тест)</w:t>
      </w:r>
    </w:p>
    <w:p w:rsidR="00BA75BD" w:rsidRPr="002F4B61" w:rsidRDefault="00BA75BD" w:rsidP="001844CE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255B45" w:rsidRPr="002F4B61" w:rsidRDefault="00255B45" w:rsidP="00BA75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F4B61">
        <w:rPr>
          <w:sz w:val="28"/>
          <w:szCs w:val="28"/>
          <w:lang w:val="uk-UA"/>
        </w:rPr>
        <w:t>1. Консультації з представниками мікро- та малого підприємництва щодо оцінки впливу регулювання</w:t>
      </w:r>
    </w:p>
    <w:p w:rsidR="00255B45" w:rsidRPr="002F4B61" w:rsidRDefault="00255B45" w:rsidP="00BA75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F4B61">
        <w:rPr>
          <w:sz w:val="28"/>
          <w:szCs w:val="28"/>
          <w:lang w:val="uk-UA"/>
        </w:rPr>
        <w:t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</w:t>
      </w:r>
      <w:r w:rsidR="00BA75BD">
        <w:rPr>
          <w:sz w:val="28"/>
          <w:szCs w:val="28"/>
          <w:lang w:val="uk-UA"/>
        </w:rPr>
        <w:t xml:space="preserve"> для здійснення регулювання проведено</w:t>
      </w:r>
      <w:r w:rsidRPr="002F4B61">
        <w:rPr>
          <w:sz w:val="28"/>
          <w:szCs w:val="28"/>
          <w:lang w:val="uk-UA"/>
        </w:rPr>
        <w:t>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8"/>
        <w:gridCol w:w="3685"/>
        <w:gridCol w:w="1786"/>
        <w:gridCol w:w="2249"/>
      </w:tblGrid>
      <w:tr w:rsidR="00255B45" w:rsidRPr="002F4B61" w:rsidTr="00255B45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Кількість учасників консультацій, осіб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2F4B61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Основні результати консультацій (опис)</w:t>
            </w:r>
          </w:p>
        </w:tc>
      </w:tr>
      <w:tr w:rsidR="004070C1" w:rsidRPr="002F4B61" w:rsidTr="00255B45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0C1" w:rsidRPr="002F4B61" w:rsidRDefault="004070C1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0C1" w:rsidRPr="002F4B61" w:rsidRDefault="00A97493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Робочі зустрічі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0C1" w:rsidRPr="002F4B61" w:rsidRDefault="000F3C40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0C1" w:rsidRPr="002F4B61" w:rsidRDefault="00017FE4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Отримання інформації та пропозицій</w:t>
            </w:r>
          </w:p>
        </w:tc>
      </w:tr>
      <w:tr w:rsidR="004070C1" w:rsidRPr="002F4B61" w:rsidTr="00255B45">
        <w:trPr>
          <w:tblCellSpacing w:w="22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0C1" w:rsidRPr="002F4B61" w:rsidRDefault="004070C1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0C1" w:rsidRPr="002F4B61" w:rsidRDefault="00A97493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К</w:t>
            </w:r>
            <w:r w:rsidR="004070C1" w:rsidRPr="002F4B61">
              <w:rPr>
                <w:sz w:val="28"/>
                <w:szCs w:val="28"/>
                <w:lang w:val="uk-UA"/>
              </w:rPr>
              <w:t>руглі столи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0C1" w:rsidRPr="002F4B61" w:rsidRDefault="000E293D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0C1" w:rsidRPr="002F4B61" w:rsidRDefault="00BA6B4B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Отримання інформації</w:t>
            </w:r>
          </w:p>
        </w:tc>
      </w:tr>
    </w:tbl>
    <w:p w:rsidR="000F3C40" w:rsidRDefault="000F3C40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55B45" w:rsidRPr="002F4B61" w:rsidRDefault="00255B45" w:rsidP="000F3C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F4B61">
        <w:rPr>
          <w:sz w:val="28"/>
          <w:szCs w:val="28"/>
          <w:lang w:val="uk-UA"/>
        </w:rPr>
        <w:t>2. Вимірювання впливу регулювання на суб'єктів малого підприємництва (мікро- та малі):</w:t>
      </w:r>
    </w:p>
    <w:p w:rsidR="00255B45" w:rsidRPr="002F4B61" w:rsidRDefault="000F3C40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55B45" w:rsidRPr="002F4B61">
        <w:rPr>
          <w:sz w:val="28"/>
          <w:szCs w:val="28"/>
          <w:lang w:val="uk-UA"/>
        </w:rPr>
        <w:t>кількість суб'єктів малого підприємництва, на як</w:t>
      </w:r>
      <w:r w:rsidR="009D1ED3" w:rsidRPr="002F4B61">
        <w:rPr>
          <w:sz w:val="28"/>
          <w:szCs w:val="28"/>
          <w:lang w:val="uk-UA"/>
        </w:rPr>
        <w:t xml:space="preserve">их поширюється регулювання: </w:t>
      </w:r>
      <w:r>
        <w:rPr>
          <w:sz w:val="28"/>
          <w:szCs w:val="28"/>
          <w:lang w:val="uk-UA"/>
        </w:rPr>
        <w:t>80 (одиниць</w:t>
      </w:r>
      <w:r w:rsidR="00255B45" w:rsidRPr="002F4B61">
        <w:rPr>
          <w:sz w:val="28"/>
          <w:szCs w:val="28"/>
          <w:lang w:val="uk-UA"/>
        </w:rPr>
        <w:t xml:space="preserve">), у тому числі малого підприємництва </w:t>
      </w:r>
      <w:r w:rsidR="00814F02" w:rsidRPr="002F4B61">
        <w:rPr>
          <w:sz w:val="28"/>
          <w:szCs w:val="28"/>
          <w:lang w:val="uk-UA"/>
        </w:rPr>
        <w:t>0</w:t>
      </w:r>
      <w:r w:rsidR="00255B45" w:rsidRPr="002F4B61">
        <w:rPr>
          <w:sz w:val="28"/>
          <w:szCs w:val="28"/>
          <w:lang w:val="uk-UA"/>
        </w:rPr>
        <w:t xml:space="preserve"> (одиниць)</w:t>
      </w:r>
      <w:r w:rsidR="009D1ED3" w:rsidRPr="002F4B61">
        <w:rPr>
          <w:sz w:val="28"/>
          <w:szCs w:val="28"/>
          <w:lang w:val="uk-UA"/>
        </w:rPr>
        <w:t xml:space="preserve"> та мікро</w:t>
      </w:r>
      <w:r>
        <w:rPr>
          <w:sz w:val="28"/>
          <w:szCs w:val="28"/>
          <w:lang w:val="uk-UA"/>
        </w:rPr>
        <w:t xml:space="preserve"> </w:t>
      </w:r>
      <w:r w:rsidR="009D1ED3" w:rsidRPr="002F4B61">
        <w:rPr>
          <w:sz w:val="28"/>
          <w:szCs w:val="28"/>
          <w:lang w:val="uk-UA"/>
        </w:rPr>
        <w:t>пі</w:t>
      </w:r>
      <w:r>
        <w:rPr>
          <w:sz w:val="28"/>
          <w:szCs w:val="28"/>
          <w:lang w:val="uk-UA"/>
        </w:rPr>
        <w:t>дприємництва 80</w:t>
      </w:r>
      <w:r w:rsidR="00255B45" w:rsidRPr="002F4B61">
        <w:rPr>
          <w:sz w:val="28"/>
          <w:szCs w:val="28"/>
          <w:lang w:val="uk-UA"/>
        </w:rPr>
        <w:t xml:space="preserve"> (одиниц</w:t>
      </w:r>
      <w:r>
        <w:rPr>
          <w:sz w:val="28"/>
          <w:szCs w:val="28"/>
          <w:lang w:val="uk-UA"/>
        </w:rPr>
        <w:t>ь</w:t>
      </w:r>
      <w:r w:rsidR="00255B45" w:rsidRPr="002F4B61">
        <w:rPr>
          <w:sz w:val="28"/>
          <w:szCs w:val="28"/>
          <w:lang w:val="uk-UA"/>
        </w:rPr>
        <w:t>);</w:t>
      </w:r>
    </w:p>
    <w:p w:rsidR="00255B45" w:rsidRPr="002F4B61" w:rsidRDefault="000F3C40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55B45" w:rsidRPr="002F4B61">
        <w:rPr>
          <w:sz w:val="28"/>
          <w:szCs w:val="28"/>
          <w:lang w:val="uk-UA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FF2608" w:rsidRPr="002F4B61">
        <w:rPr>
          <w:sz w:val="28"/>
          <w:szCs w:val="28"/>
          <w:lang w:val="uk-UA"/>
        </w:rPr>
        <w:t xml:space="preserve">100 </w:t>
      </w:r>
      <w:r w:rsidR="00255B45" w:rsidRPr="002F4B61">
        <w:rPr>
          <w:sz w:val="28"/>
          <w:szCs w:val="28"/>
          <w:lang w:val="uk-UA"/>
        </w:rPr>
        <w:t xml:space="preserve">(відсотків) (відповідно до таблиці "Оцінка впливу на сферу інтересів суб'єктів господарювання" додатка 1 до Методики проведення аналізу впливу регуляторного </w:t>
      </w:r>
      <w:proofErr w:type="spellStart"/>
      <w:r w:rsidR="00255B45" w:rsidRPr="002F4B61">
        <w:rPr>
          <w:sz w:val="28"/>
          <w:szCs w:val="28"/>
          <w:lang w:val="uk-UA"/>
        </w:rPr>
        <w:t>акта</w:t>
      </w:r>
      <w:proofErr w:type="spellEnd"/>
      <w:r w:rsidR="00255B45" w:rsidRPr="002F4B61">
        <w:rPr>
          <w:sz w:val="28"/>
          <w:szCs w:val="28"/>
          <w:lang w:val="uk-UA"/>
        </w:rPr>
        <w:t>).</w:t>
      </w:r>
    </w:p>
    <w:p w:rsidR="000F3C40" w:rsidRDefault="000F3C40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55B45" w:rsidRPr="002F4B61" w:rsidRDefault="00255B45" w:rsidP="000F3C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F4B61">
        <w:rPr>
          <w:sz w:val="28"/>
          <w:szCs w:val="28"/>
          <w:lang w:val="uk-UA"/>
        </w:rPr>
        <w:t>3. Розрахунок витрат суб'єктів малого підприємництва на виконання вимог регулювання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05"/>
        <w:gridCol w:w="1956"/>
        <w:gridCol w:w="1695"/>
        <w:gridCol w:w="2143"/>
        <w:gridCol w:w="2464"/>
        <w:gridCol w:w="275"/>
      </w:tblGrid>
      <w:tr w:rsidR="000F3C40" w:rsidRPr="002F4B61" w:rsidTr="000F3C40">
        <w:trPr>
          <w:gridAfter w:val="1"/>
          <w:wAfter w:w="91" w:type="pct"/>
          <w:tblCellSpacing w:w="22" w:type="dxa"/>
        </w:trPr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0F3C40" w:rsidRDefault="000F3C40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0F3C40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Найменування оцінки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0F3C40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перший рік (стартовий рік впровадження регулювання)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0F3C40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Періодичні (за наступний рік)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0F3C40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Витрати за п'ять років</w:t>
            </w:r>
          </w:p>
        </w:tc>
      </w:tr>
      <w:tr w:rsidR="001546BA" w:rsidRPr="002F4B61" w:rsidTr="000F3C40">
        <w:trPr>
          <w:tblCellSpacing w:w="22" w:type="dxa"/>
        </w:trPr>
        <w:tc>
          <w:tcPr>
            <w:tcW w:w="495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Оцінка "прямих" витрат суб'єктів малого підприємництва на виконання регулювання</w:t>
            </w:r>
          </w:p>
        </w:tc>
      </w:tr>
      <w:tr w:rsidR="000F3C40" w:rsidRPr="002F4B61" w:rsidTr="000F3C40">
        <w:trPr>
          <w:gridAfter w:val="1"/>
          <w:wAfter w:w="91" w:type="pct"/>
          <w:tblCellSpacing w:w="22" w:type="dxa"/>
        </w:trPr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0F3C40" w:rsidRDefault="001546BA" w:rsidP="000F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0 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0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0 </w:t>
            </w:r>
          </w:p>
        </w:tc>
      </w:tr>
      <w:tr w:rsidR="000F3C40" w:rsidRPr="002F4B61" w:rsidTr="000F3C40">
        <w:trPr>
          <w:gridAfter w:val="1"/>
          <w:wAfter w:w="91" w:type="pct"/>
          <w:tblCellSpacing w:w="22" w:type="dxa"/>
        </w:trPr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0F3C40" w:rsidRDefault="001546BA" w:rsidP="000F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0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0 </w:t>
            </w:r>
          </w:p>
        </w:tc>
      </w:tr>
      <w:tr w:rsidR="000F3C40" w:rsidRPr="002F4B61" w:rsidTr="000F3C40">
        <w:trPr>
          <w:gridAfter w:val="1"/>
          <w:wAfter w:w="91" w:type="pct"/>
          <w:tblCellSpacing w:w="22" w:type="dxa"/>
        </w:trPr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0F3C40" w:rsidRDefault="001546BA" w:rsidP="000F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0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0 </w:t>
            </w:r>
          </w:p>
        </w:tc>
      </w:tr>
      <w:tr w:rsidR="000F3C40" w:rsidRPr="002F4B61" w:rsidTr="000F3C40">
        <w:trPr>
          <w:gridAfter w:val="1"/>
          <w:wAfter w:w="91" w:type="pct"/>
          <w:tblCellSpacing w:w="22" w:type="dxa"/>
        </w:trPr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0F3C40" w:rsidRDefault="001546BA" w:rsidP="000F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Процедури обслуговування обладнання (технічне обслуговування)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0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0 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0 </w:t>
            </w:r>
          </w:p>
        </w:tc>
      </w:tr>
      <w:tr w:rsidR="000F3C40" w:rsidRPr="002F4B61" w:rsidTr="000F3C40">
        <w:trPr>
          <w:gridAfter w:val="1"/>
          <w:wAfter w:w="91" w:type="pct"/>
          <w:tblCellSpacing w:w="22" w:type="dxa"/>
        </w:trPr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0F3C40" w:rsidRDefault="001546BA" w:rsidP="000F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F3C40">
              <w:rPr>
                <w:rFonts w:ascii="Times New Roman" w:hAnsi="Times New Roman"/>
                <w:sz w:val="24"/>
                <w:szCs w:val="24"/>
                <w:lang w:eastAsia="ru-RU"/>
              </w:rPr>
              <w:t>Сплата</w:t>
            </w:r>
            <w:proofErr w:type="spellEnd"/>
            <w:r w:rsidRPr="000F3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C40">
              <w:rPr>
                <w:rFonts w:ascii="Times New Roman" w:hAnsi="Times New Roman"/>
                <w:sz w:val="24"/>
                <w:szCs w:val="24"/>
                <w:lang w:eastAsia="ru-RU"/>
              </w:rPr>
              <w:t>пайової</w:t>
            </w:r>
            <w:proofErr w:type="spellEnd"/>
            <w:r w:rsidRPr="000F3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C40">
              <w:rPr>
                <w:rFonts w:ascii="Times New Roman" w:hAnsi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0F3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у </w:t>
            </w:r>
            <w:proofErr w:type="spellStart"/>
            <w:r w:rsidRPr="000F3C40">
              <w:rPr>
                <w:rFonts w:ascii="Times New Roman" w:hAnsi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0F3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C40">
              <w:rPr>
                <w:rFonts w:ascii="Times New Roman" w:hAnsi="Times New Roman"/>
                <w:sz w:val="24"/>
                <w:szCs w:val="24"/>
                <w:lang w:eastAsia="ru-RU"/>
              </w:rPr>
              <w:t>обрання</w:t>
            </w:r>
            <w:proofErr w:type="spellEnd"/>
            <w:r w:rsidRPr="000F3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СГ)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0F3C40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0F3C40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F3C40" w:rsidRPr="002F4B61" w:rsidTr="000F3C40">
        <w:trPr>
          <w:gridAfter w:val="1"/>
          <w:wAfter w:w="91" w:type="pct"/>
          <w:tblCellSpacing w:w="22" w:type="dxa"/>
        </w:trPr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0F3C40" w:rsidRDefault="001546BA" w:rsidP="000F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Інші процедури (уточнити)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0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0 </w:t>
            </w:r>
          </w:p>
        </w:tc>
      </w:tr>
      <w:tr w:rsidR="000F3C40" w:rsidRPr="002F4B61" w:rsidTr="000F3C40">
        <w:trPr>
          <w:gridAfter w:val="1"/>
          <w:wAfter w:w="91" w:type="pct"/>
          <w:trHeight w:val="1410"/>
          <w:tblCellSpacing w:w="22" w:type="dxa"/>
        </w:trPr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0F3C40" w:rsidRDefault="001546BA" w:rsidP="000F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Разом, гривень</w:t>
            </w:r>
            <w:r w:rsidRPr="000F3C40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0F3C40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Формула:</w:t>
            </w:r>
            <w:r w:rsidRPr="000F3C40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0F3C40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(сума рядків 1 + 2 + 3 + 4 + 5)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0F3C40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0 </w:t>
            </w:r>
          </w:p>
        </w:tc>
      </w:tr>
      <w:tr w:rsidR="000F3C40" w:rsidRPr="002F4B61" w:rsidTr="000F3C40">
        <w:trPr>
          <w:gridAfter w:val="1"/>
          <w:wAfter w:w="91" w:type="pct"/>
          <w:tblCellSpacing w:w="22" w:type="dxa"/>
        </w:trPr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0F3C40" w:rsidRDefault="001546BA" w:rsidP="000F3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3C4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 суб'єктів господарювання, що повинні виконати вимоги регулювання, одиниць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0F3C40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0F3C40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F3C40" w:rsidRPr="002F4B61" w:rsidTr="000F3C40">
        <w:trPr>
          <w:gridAfter w:val="1"/>
          <w:wAfter w:w="91" w:type="pct"/>
          <w:tblCellSpacing w:w="22" w:type="dxa"/>
        </w:trPr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0F3C40" w:rsidP="00184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Сумарно, грн.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0F3C40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546BA" w:rsidRPr="002F4B61" w:rsidTr="000F3C40">
        <w:trPr>
          <w:gridAfter w:val="1"/>
          <w:wAfter w:w="91" w:type="pct"/>
          <w:tblCellSpacing w:w="22" w:type="dxa"/>
        </w:trPr>
        <w:tc>
          <w:tcPr>
            <w:tcW w:w="483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Оцінка</w:t>
            </w:r>
            <w:proofErr w:type="spellEnd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вартості</w:t>
            </w:r>
            <w:proofErr w:type="spellEnd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адміністративних</w:t>
            </w:r>
            <w:proofErr w:type="spellEnd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процедур </w:t>
            </w:r>
            <w:proofErr w:type="spellStart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суб’єктів</w:t>
            </w:r>
            <w:proofErr w:type="spellEnd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малого </w:t>
            </w:r>
            <w:proofErr w:type="spellStart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підприємництва</w:t>
            </w:r>
            <w:proofErr w:type="spellEnd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щодо</w:t>
            </w:r>
            <w:proofErr w:type="spellEnd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регулювання</w:t>
            </w:r>
            <w:proofErr w:type="spellEnd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звітування</w:t>
            </w:r>
            <w:proofErr w:type="spellEnd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Розрахунок</w:t>
            </w:r>
            <w:proofErr w:type="spellEnd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вартості</w:t>
            </w:r>
            <w:proofErr w:type="spellEnd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1 </w:t>
            </w:r>
            <w:proofErr w:type="spellStart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людино-години</w:t>
            </w:r>
            <w:proofErr w:type="spellEnd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Норма </w:t>
            </w:r>
            <w:proofErr w:type="spellStart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>робочого</w:t>
            </w:r>
            <w:proofErr w:type="spellEnd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часу на 201</w:t>
            </w: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>рік</w:t>
            </w:r>
            <w:proofErr w:type="spellEnd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становить при 40-годинному </w:t>
            </w:r>
            <w:proofErr w:type="spellStart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>робочому</w:t>
            </w:r>
            <w:proofErr w:type="spellEnd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>тижні</w:t>
            </w:r>
            <w:proofErr w:type="spellEnd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- 1993,0 годин. Для </w:t>
            </w:r>
            <w:proofErr w:type="spellStart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>розрахунку</w:t>
            </w:r>
            <w:proofErr w:type="spellEnd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>використовується</w:t>
            </w:r>
            <w:proofErr w:type="spellEnd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>мінімальна</w:t>
            </w:r>
            <w:proofErr w:type="spellEnd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>заробітна</w:t>
            </w:r>
            <w:proofErr w:type="spellEnd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плата, </w:t>
            </w:r>
            <w:proofErr w:type="spellStart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201</w:t>
            </w: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>році</w:t>
            </w:r>
            <w:proofErr w:type="spellEnd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становить </w:t>
            </w: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4173,00</w:t>
            </w:r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грн. та у </w:t>
            </w:r>
            <w:proofErr w:type="spellStart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погодинному</w:t>
            </w:r>
            <w:proofErr w:type="spellEnd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розмірі</w:t>
            </w:r>
            <w:proofErr w:type="spellEnd"/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2F4B61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25,11</w:t>
            </w:r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>грн</w:t>
            </w:r>
            <w:proofErr w:type="spellEnd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ст.8 Закону </w:t>
            </w:r>
            <w:proofErr w:type="spellStart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 </w:t>
            </w:r>
            <w:proofErr w:type="spellStart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201</w:t>
            </w: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>рік</w:t>
            </w:r>
            <w:proofErr w:type="spellEnd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>»)</w:t>
            </w:r>
          </w:p>
        </w:tc>
      </w:tr>
      <w:tr w:rsidR="001546BA" w:rsidRPr="002F4B61" w:rsidTr="000F3C40">
        <w:trPr>
          <w:tblCellSpacing w:w="22" w:type="dxa"/>
        </w:trPr>
        <w:tc>
          <w:tcPr>
            <w:tcW w:w="495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0F3C40" w:rsidRPr="002F4B61" w:rsidTr="005D0059">
        <w:trPr>
          <w:gridAfter w:val="1"/>
          <w:wAfter w:w="91" w:type="pct"/>
          <w:trHeight w:val="1635"/>
          <w:tblCellSpacing w:w="22" w:type="dxa"/>
        </w:trPr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5D0059" w:rsidRDefault="001546BA" w:rsidP="005D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005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>1 год*</w:t>
            </w: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25,11</w:t>
            </w:r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>грн</w:t>
            </w:r>
            <w:proofErr w:type="spellEnd"/>
            <w:r w:rsidR="000F3C4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Pr="002F4B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= </w:t>
            </w: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25,11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0 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0 </w:t>
            </w:r>
          </w:p>
        </w:tc>
      </w:tr>
      <w:tr w:rsidR="000F3C40" w:rsidRPr="002F4B61" w:rsidTr="005D0059">
        <w:trPr>
          <w:gridAfter w:val="1"/>
          <w:wAfter w:w="91" w:type="pct"/>
          <w:trHeight w:val="1113"/>
          <w:tblCellSpacing w:w="22" w:type="dxa"/>
        </w:trPr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5D0059" w:rsidRDefault="001546BA" w:rsidP="005D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005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Процедури організації виконання вимог регулювання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0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0 </w:t>
            </w:r>
          </w:p>
        </w:tc>
      </w:tr>
      <w:tr w:rsidR="000F3C40" w:rsidRPr="002F4B61" w:rsidTr="000F3C40">
        <w:trPr>
          <w:gridAfter w:val="1"/>
          <w:wAfter w:w="91" w:type="pct"/>
          <w:tblCellSpacing w:w="22" w:type="dxa"/>
        </w:trPr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5D0059" w:rsidRDefault="001546BA" w:rsidP="005D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005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Процедури офіційного звітування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0 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0 </w:t>
            </w:r>
          </w:p>
        </w:tc>
      </w:tr>
      <w:tr w:rsidR="000F3C40" w:rsidRPr="002F4B61" w:rsidTr="000F3C40">
        <w:trPr>
          <w:gridAfter w:val="1"/>
          <w:wAfter w:w="91" w:type="pct"/>
          <w:tblCellSpacing w:w="22" w:type="dxa"/>
        </w:trPr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5D0059" w:rsidRDefault="001546BA" w:rsidP="005D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005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Процедури щодо забезпечення процесу перевірок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0 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0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0 </w:t>
            </w:r>
          </w:p>
        </w:tc>
      </w:tr>
      <w:tr w:rsidR="000F3C40" w:rsidRPr="002F4B61" w:rsidTr="000F3C40">
        <w:trPr>
          <w:gridAfter w:val="1"/>
          <w:wAfter w:w="91" w:type="pct"/>
          <w:tblCellSpacing w:w="22" w:type="dxa"/>
        </w:trPr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5D0059" w:rsidRDefault="001546BA" w:rsidP="005D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005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Інші процедури (уточнити)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0 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0 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0 </w:t>
            </w:r>
          </w:p>
        </w:tc>
      </w:tr>
      <w:tr w:rsidR="000F3C40" w:rsidRPr="002F4B61" w:rsidTr="000F3C40">
        <w:trPr>
          <w:gridAfter w:val="1"/>
          <w:wAfter w:w="91" w:type="pct"/>
          <w:tblCellSpacing w:w="22" w:type="dxa"/>
        </w:trPr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5D0059" w:rsidRDefault="001546BA" w:rsidP="005D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005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Разом, гривень</w:t>
            </w:r>
            <w:r w:rsidRPr="005D0059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5D0059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Формула:</w:t>
            </w:r>
            <w:r w:rsidRPr="005D0059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5D0059">
              <w:rPr>
                <w:rFonts w:ascii="Times New Roman" w:hAnsi="Times New Roman"/>
                <w:i/>
                <w:iCs/>
                <w:lang w:val="uk-UA" w:eastAsia="ru-RU"/>
              </w:rPr>
              <w:t>(сума рядків 9 + 10 + 11 + 12 + 13)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25,11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0 </w:t>
            </w:r>
          </w:p>
        </w:tc>
      </w:tr>
      <w:tr w:rsidR="000F3C40" w:rsidRPr="002F4B61" w:rsidTr="000F3C40">
        <w:trPr>
          <w:gridAfter w:val="1"/>
          <w:wAfter w:w="91" w:type="pct"/>
          <w:tblCellSpacing w:w="22" w:type="dxa"/>
        </w:trPr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5D0059" w:rsidRDefault="001546BA" w:rsidP="005D0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D005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 суб'єктів малого підприємництва, що повинні виконати вимоги регулювання, одиниць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5D0059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5D0059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0F3C40" w:rsidRPr="002F4B61" w:rsidTr="000F3C40">
        <w:trPr>
          <w:gridAfter w:val="1"/>
          <w:wAfter w:w="91" w:type="pct"/>
          <w:tblCellSpacing w:w="22" w:type="dxa"/>
        </w:trPr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5D0059" w:rsidP="005D0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Сумарно, грн.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5D0059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2008,80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1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BA" w:rsidRPr="002F4B61" w:rsidRDefault="001546BA" w:rsidP="0018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F4B6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A23833" w:rsidRPr="002F4B61" w:rsidRDefault="00CB6DA5" w:rsidP="001844C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F4B61">
        <w:rPr>
          <w:sz w:val="28"/>
          <w:szCs w:val="28"/>
          <w:lang w:val="uk-UA"/>
        </w:rPr>
        <w:t>* Всі розрахунки проведені згідно даних, які були отримані від суб'єктів підприємництва.</w:t>
      </w:r>
    </w:p>
    <w:p w:rsidR="005D0059" w:rsidRDefault="005D0059" w:rsidP="001844C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23833" w:rsidRPr="002F4B61" w:rsidRDefault="007F317F" w:rsidP="001844C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F4B61">
        <w:rPr>
          <w:b/>
          <w:sz w:val="28"/>
          <w:szCs w:val="28"/>
          <w:lang w:val="uk-UA"/>
        </w:rPr>
        <w:t xml:space="preserve">Бюджетні витрати </w:t>
      </w:r>
      <w:r w:rsidR="00A23833" w:rsidRPr="002F4B61">
        <w:rPr>
          <w:b/>
          <w:sz w:val="28"/>
          <w:szCs w:val="28"/>
          <w:lang w:val="uk-UA"/>
        </w:rPr>
        <w:t>на адміністрування регулювання для суб'єктів великого і середнього підприємництва</w:t>
      </w:r>
    </w:p>
    <w:p w:rsidR="00255B45" w:rsidRPr="002F4B61" w:rsidRDefault="00255B45" w:rsidP="005D00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F4B61">
        <w:rPr>
          <w:sz w:val="28"/>
          <w:szCs w:val="28"/>
          <w:lang w:val="uk-UA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</w:t>
      </w:r>
      <w:r w:rsidR="005D0059">
        <w:rPr>
          <w:sz w:val="28"/>
          <w:szCs w:val="28"/>
          <w:lang w:val="uk-UA"/>
        </w:rPr>
        <w:t xml:space="preserve"> </w:t>
      </w:r>
      <w:r w:rsidRPr="002F4B61">
        <w:rPr>
          <w:sz w:val="28"/>
          <w:szCs w:val="28"/>
          <w:lang w:val="uk-UA"/>
        </w:rPr>
        <w:t>місцевого самоврядування, що залучений до процесу регулювання.</w:t>
      </w:r>
    </w:p>
    <w:p w:rsidR="004821AC" w:rsidRPr="002F4B61" w:rsidRDefault="00255B45" w:rsidP="005D00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F4B61">
        <w:rPr>
          <w:rFonts w:ascii="Times New Roman" w:hAnsi="Times New Roman"/>
          <w:sz w:val="28"/>
          <w:szCs w:val="28"/>
          <w:lang w:val="uk-UA"/>
        </w:rPr>
        <w:t>Державний орган, для якого здійснюється розрахунок вартості</w:t>
      </w:r>
      <w:r w:rsidR="005D00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4B61">
        <w:rPr>
          <w:rFonts w:ascii="Times New Roman" w:hAnsi="Times New Roman"/>
          <w:sz w:val="28"/>
          <w:szCs w:val="28"/>
          <w:lang w:val="uk-UA"/>
        </w:rPr>
        <w:t>адміністрування регулювання:</w:t>
      </w:r>
      <w:r w:rsidR="004821AC" w:rsidRPr="002F4B61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5557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3"/>
        <w:gridCol w:w="1220"/>
        <w:gridCol w:w="2123"/>
        <w:gridCol w:w="1369"/>
        <w:gridCol w:w="1466"/>
        <w:gridCol w:w="1837"/>
      </w:tblGrid>
      <w:tr w:rsidR="00255B45" w:rsidRPr="002F4B61" w:rsidTr="005D0059">
        <w:trPr>
          <w:tblCellSpacing w:w="22" w:type="dxa"/>
          <w:jc w:val="center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5D0059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 xml:space="preserve">Процедура регулювання суб'єктів малого підприємництва (розрахунок на одного типового суб'єкта господарювання малого </w:t>
            </w:r>
            <w:r w:rsidRPr="005D0059">
              <w:rPr>
                <w:lang w:val="uk-UA"/>
              </w:rPr>
              <w:lastRenderedPageBreak/>
              <w:t>підприємництва - за потреби окремо для суб'єктів малого та мікро</w:t>
            </w:r>
            <w:r w:rsidR="005D0059">
              <w:rPr>
                <w:lang w:val="uk-UA"/>
              </w:rPr>
              <w:t xml:space="preserve"> </w:t>
            </w:r>
            <w:r w:rsidRPr="005D0059">
              <w:rPr>
                <w:lang w:val="uk-UA"/>
              </w:rPr>
              <w:t>підприємництв</w:t>
            </w:r>
            <w:r w:rsidR="005D0059">
              <w:rPr>
                <w:lang w:val="uk-UA"/>
              </w:rPr>
              <w:t>а</w:t>
            </w:r>
            <w:r w:rsidRPr="005D0059">
              <w:rPr>
                <w:lang w:val="uk-UA"/>
              </w:rPr>
              <w:t>)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5D0059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lastRenderedPageBreak/>
              <w:t>Планові витрати часу на процедуру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5D0059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5D0059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5D0059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Оцінка кількості суб'єктів, що підпадають під дію процедури регулювання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5B45" w:rsidRPr="005D0059" w:rsidRDefault="00255B45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Витрати на адміністрування регулювання* (за рік), гривень</w:t>
            </w:r>
          </w:p>
        </w:tc>
      </w:tr>
      <w:tr w:rsidR="007A39EE" w:rsidRPr="002F4B61" w:rsidTr="005D0059">
        <w:trPr>
          <w:tblCellSpacing w:w="22" w:type="dxa"/>
          <w:jc w:val="center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5D0059">
              <w:rPr>
                <w:lang w:val="uk-UA"/>
              </w:rPr>
              <w:lastRenderedPageBreak/>
              <w:t>1. Облік суб'єкта господарювання, що перебуває у сфері регулювання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8F5CD5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0,2</w:t>
            </w:r>
            <w:r w:rsidR="007A39EE" w:rsidRPr="005D0059">
              <w:rPr>
                <w:lang w:val="uk-UA"/>
              </w:rPr>
              <w:t>ч 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5D0059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25,10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1 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5D0059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5D0059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401,60</w:t>
            </w:r>
          </w:p>
        </w:tc>
      </w:tr>
      <w:tr w:rsidR="007A39EE" w:rsidRPr="002F4B61" w:rsidTr="005D0059">
        <w:trPr>
          <w:tblCellSpacing w:w="22" w:type="dxa"/>
          <w:jc w:val="center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5D0059">
              <w:rPr>
                <w:lang w:val="uk-UA"/>
              </w:rPr>
              <w:t>2. Поточний контроль за суб'єктом господарювання, що перебуває у сфері регулювання, у тому числі: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 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513D9D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6023</w:t>
            </w:r>
            <w:r w:rsidR="008F5CD5" w:rsidRPr="005D0059">
              <w:rPr>
                <w:lang w:val="uk-UA"/>
              </w:rPr>
              <w:t>/240</w:t>
            </w:r>
            <w:r w:rsidR="007A39EE" w:rsidRPr="005D0059">
              <w:rPr>
                <w:lang w:val="uk-UA"/>
              </w:rPr>
              <w:t> =</w:t>
            </w:r>
            <w:r w:rsidRPr="005D0059">
              <w:rPr>
                <w:lang w:val="uk-UA"/>
              </w:rPr>
              <w:t>25,10</w:t>
            </w:r>
            <w:r w:rsidR="007A39EE" w:rsidRPr="005D0059">
              <w:rPr>
                <w:lang w:val="uk-UA"/>
              </w:rPr>
              <w:t>грн за 1час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7A39EE" w:rsidRPr="002F4B61" w:rsidTr="005D0059">
        <w:trPr>
          <w:tblCellSpacing w:w="22" w:type="dxa"/>
          <w:jc w:val="center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5D0059">
              <w:rPr>
                <w:lang w:val="uk-UA"/>
              </w:rPr>
              <w:t>камеральні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0,5ч 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513D9D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12,55</w:t>
            </w:r>
            <w:r w:rsidR="007A39EE" w:rsidRPr="005D0059">
              <w:rPr>
                <w:lang w:val="uk-UA"/>
              </w:rPr>
              <w:t> 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 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5D0059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5D0059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1004,00</w:t>
            </w:r>
          </w:p>
        </w:tc>
      </w:tr>
      <w:tr w:rsidR="007A39EE" w:rsidRPr="002F4B61" w:rsidTr="005D0059">
        <w:trPr>
          <w:tblCellSpacing w:w="22" w:type="dxa"/>
          <w:jc w:val="center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513D9D" w:rsidP="001844C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5D0059">
              <w:rPr>
                <w:lang w:val="uk-UA"/>
              </w:rPr>
              <w:t>в</w:t>
            </w:r>
            <w:r w:rsidR="007A39EE" w:rsidRPr="005D0059">
              <w:rPr>
                <w:lang w:val="uk-UA"/>
              </w:rPr>
              <w:t>иїзні</w:t>
            </w:r>
            <w:r w:rsidRPr="005D0059">
              <w:rPr>
                <w:lang w:val="uk-UA"/>
              </w:rPr>
              <w:t xml:space="preserve"> (5 % загальної кількості)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F9582F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1</w:t>
            </w:r>
            <w:r w:rsidR="007A39EE" w:rsidRPr="005D0059">
              <w:rPr>
                <w:lang w:val="uk-UA"/>
              </w:rPr>
              <w:t>ч 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513D9D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25,10</w:t>
            </w:r>
            <w:r w:rsidR="007A39EE" w:rsidRPr="005D0059">
              <w:rPr>
                <w:lang w:val="uk-UA"/>
              </w:rPr>
              <w:t> 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 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5D0059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5D0059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100,40</w:t>
            </w:r>
          </w:p>
        </w:tc>
      </w:tr>
      <w:tr w:rsidR="007A39EE" w:rsidRPr="002F4B61" w:rsidTr="005D0059">
        <w:trPr>
          <w:tblCellSpacing w:w="22" w:type="dxa"/>
          <w:jc w:val="center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5D0059">
              <w:rPr>
                <w:lang w:val="uk-UA"/>
              </w:rPr>
              <w:t xml:space="preserve">3. Підготовка, затвердження та опрацювання одного окремого </w:t>
            </w:r>
            <w:proofErr w:type="spellStart"/>
            <w:r w:rsidRPr="005D0059">
              <w:rPr>
                <w:lang w:val="uk-UA"/>
              </w:rPr>
              <w:t>акта</w:t>
            </w:r>
            <w:proofErr w:type="spellEnd"/>
            <w:r w:rsidRPr="005D0059">
              <w:rPr>
                <w:lang w:val="uk-UA"/>
              </w:rPr>
              <w:t xml:space="preserve"> про порушення вимог регулювання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F9582F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 1</w:t>
            </w:r>
            <w:r w:rsidR="007A39EE" w:rsidRPr="005D0059">
              <w:rPr>
                <w:lang w:val="uk-UA"/>
              </w:rPr>
              <w:t>0ч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865C75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251</w:t>
            </w:r>
            <w:r w:rsidR="007A39EE" w:rsidRPr="005D0059">
              <w:rPr>
                <w:lang w:val="uk-UA"/>
              </w:rPr>
              <w:t>,0 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 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B84226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B84226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  <w:r w:rsidR="005D0059">
              <w:rPr>
                <w:lang w:val="uk-UA"/>
              </w:rPr>
              <w:t>,00</w:t>
            </w:r>
          </w:p>
        </w:tc>
      </w:tr>
      <w:tr w:rsidR="007A39EE" w:rsidRPr="002F4B61" w:rsidTr="005D0059">
        <w:trPr>
          <w:tblCellSpacing w:w="22" w:type="dxa"/>
          <w:jc w:val="center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5D0059">
              <w:rPr>
                <w:lang w:val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1ч 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A96C3A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25,10</w:t>
            </w:r>
            <w:r w:rsidR="007A39EE" w:rsidRPr="005D0059">
              <w:rPr>
                <w:lang w:val="uk-UA"/>
              </w:rPr>
              <w:t> 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 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B84226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B84226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200,8</w:t>
            </w:r>
            <w:r w:rsidR="005D0059">
              <w:rPr>
                <w:lang w:val="uk-UA"/>
              </w:rPr>
              <w:t>0</w:t>
            </w:r>
          </w:p>
        </w:tc>
      </w:tr>
      <w:tr w:rsidR="007A39EE" w:rsidRPr="002F4B61" w:rsidTr="005D0059">
        <w:trPr>
          <w:tblCellSpacing w:w="22" w:type="dxa"/>
          <w:jc w:val="center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5D0059">
              <w:rPr>
                <w:lang w:val="uk-UA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- 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- 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 -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-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-</w:t>
            </w:r>
          </w:p>
        </w:tc>
      </w:tr>
      <w:tr w:rsidR="007A39EE" w:rsidRPr="002F4B61" w:rsidTr="005D0059">
        <w:trPr>
          <w:tblCellSpacing w:w="22" w:type="dxa"/>
          <w:jc w:val="center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5D0059">
              <w:rPr>
                <w:lang w:val="uk-UA"/>
              </w:rPr>
              <w:t>6. Підготовка звітності за результатами регулювання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8ч 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A96C3A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200,80</w:t>
            </w:r>
            <w:r w:rsidR="007A39EE" w:rsidRPr="005D0059">
              <w:rPr>
                <w:lang w:val="uk-UA"/>
              </w:rPr>
              <w:t> 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 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B84226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B84226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803,20</w:t>
            </w:r>
          </w:p>
        </w:tc>
      </w:tr>
      <w:tr w:rsidR="007A39EE" w:rsidRPr="002F4B61" w:rsidTr="005D0059">
        <w:trPr>
          <w:tblCellSpacing w:w="22" w:type="dxa"/>
          <w:jc w:val="center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5D0059">
              <w:rPr>
                <w:lang w:val="uk-UA"/>
              </w:rPr>
              <w:t>7. Інші адміністративні процедури (уточнити):</w:t>
            </w:r>
            <w:r w:rsidRPr="005D0059">
              <w:rPr>
                <w:lang w:val="uk-UA"/>
              </w:rPr>
              <w:br/>
            </w:r>
            <w:r w:rsidRPr="00B84226">
              <w:rPr>
                <w:lang w:val="uk-UA"/>
              </w:rPr>
              <w:t>виклик платника, складання листа</w:t>
            </w:r>
            <w:r w:rsidR="00B84226" w:rsidRPr="00B84226">
              <w:rPr>
                <w:lang w:val="uk-UA"/>
              </w:rPr>
              <w:t>, тощо)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3B2827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4</w:t>
            </w:r>
            <w:r w:rsidR="007A39EE" w:rsidRPr="005D0059">
              <w:rPr>
                <w:lang w:val="uk-UA"/>
              </w:rPr>
              <w:t>ч 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5C492F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100,4</w:t>
            </w:r>
            <w:r w:rsidR="007A39EE" w:rsidRPr="005D0059">
              <w:rPr>
                <w:lang w:val="uk-UA"/>
              </w:rPr>
              <w:t> 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 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B84226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B84226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1204,80</w:t>
            </w:r>
          </w:p>
        </w:tc>
      </w:tr>
      <w:tr w:rsidR="007A39EE" w:rsidRPr="002F4B61" w:rsidTr="005D0059">
        <w:trPr>
          <w:tblCellSpacing w:w="22" w:type="dxa"/>
          <w:jc w:val="center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5D0059">
              <w:rPr>
                <w:lang w:val="uk-UA"/>
              </w:rPr>
              <w:t>Разом за рік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Х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Х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Х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7A39EE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D0059">
              <w:rPr>
                <w:lang w:val="uk-UA"/>
              </w:rPr>
              <w:t>Х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9EE" w:rsidRPr="005D0059" w:rsidRDefault="00B84226" w:rsidP="001844C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5722,80</w:t>
            </w:r>
          </w:p>
        </w:tc>
      </w:tr>
    </w:tbl>
    <w:p w:rsidR="00B84226" w:rsidRDefault="00B84226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84226" w:rsidRDefault="00B84226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55B45" w:rsidRPr="002F4B61" w:rsidRDefault="0075268F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F4B61">
        <w:rPr>
          <w:sz w:val="28"/>
          <w:szCs w:val="28"/>
          <w:lang w:val="uk-UA"/>
        </w:rPr>
        <w:t>4</w:t>
      </w:r>
      <w:r w:rsidR="00255B45" w:rsidRPr="002F4B61">
        <w:rPr>
          <w:sz w:val="28"/>
          <w:szCs w:val="28"/>
          <w:lang w:val="uk-UA"/>
        </w:rPr>
        <w:t>. Розрахунок сумарних витрат суб'єктів малого підприємництва, що виникають на виконання вимог регулювання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9"/>
        <w:gridCol w:w="5319"/>
        <w:gridCol w:w="2400"/>
      </w:tblGrid>
      <w:tr w:rsidR="009967A8" w:rsidRPr="002F4B61" w:rsidTr="001C3D29">
        <w:trPr>
          <w:tblCellSpacing w:w="22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2F4B61" w:rsidRDefault="009967A8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lastRenderedPageBreak/>
              <w:t>Порядковий номер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2F4B61" w:rsidRDefault="009967A8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2F4B61" w:rsidRDefault="009967A8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 xml:space="preserve">Рік регулювання </w:t>
            </w:r>
          </w:p>
        </w:tc>
      </w:tr>
      <w:tr w:rsidR="009967A8" w:rsidRPr="002F4B61" w:rsidTr="001C3D29">
        <w:trPr>
          <w:tblCellSpacing w:w="22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2F4B61" w:rsidRDefault="009967A8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2F4B61" w:rsidRDefault="009967A8" w:rsidP="001844C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Оцінка "прямих" витрат суб'єктів малого підприємництва на виконання регулювання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2F4B61" w:rsidRDefault="001C3D29" w:rsidP="001844C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397750,00</w:t>
            </w:r>
          </w:p>
        </w:tc>
      </w:tr>
      <w:tr w:rsidR="009967A8" w:rsidRPr="002F4B61" w:rsidTr="001C3D29">
        <w:trPr>
          <w:tblCellSpacing w:w="22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2F4B61" w:rsidRDefault="009967A8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2F4B61" w:rsidRDefault="009967A8" w:rsidP="001844C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2F4B61" w:rsidRDefault="001C3D29" w:rsidP="001844C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2008,80</w:t>
            </w:r>
          </w:p>
        </w:tc>
      </w:tr>
      <w:tr w:rsidR="009967A8" w:rsidRPr="002F4B61" w:rsidTr="001C3D29">
        <w:trPr>
          <w:tblCellSpacing w:w="22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2F4B61" w:rsidRDefault="009967A8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2F4B61" w:rsidRDefault="009967A8" w:rsidP="001844C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2F4B61" w:rsidRDefault="001C3D29" w:rsidP="001844C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399758,80</w:t>
            </w:r>
          </w:p>
        </w:tc>
      </w:tr>
      <w:tr w:rsidR="009967A8" w:rsidRPr="002F4B61" w:rsidTr="001C3D29">
        <w:trPr>
          <w:tblCellSpacing w:w="22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2F4B61" w:rsidRDefault="009967A8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2F4B61" w:rsidRDefault="009967A8" w:rsidP="001844C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2F4B61" w:rsidRDefault="001C3D29" w:rsidP="001844C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5722,80</w:t>
            </w:r>
          </w:p>
        </w:tc>
      </w:tr>
      <w:tr w:rsidR="009967A8" w:rsidRPr="002F4B61" w:rsidTr="001C3D29">
        <w:trPr>
          <w:tblCellSpacing w:w="22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2F4B61" w:rsidRDefault="009967A8" w:rsidP="001844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2F4B61" w:rsidRDefault="009967A8" w:rsidP="001844CE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4B61">
              <w:rPr>
                <w:sz w:val="28"/>
                <w:szCs w:val="28"/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7A8" w:rsidRPr="002F4B61" w:rsidRDefault="001C3D29" w:rsidP="001844C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405481,60</w:t>
            </w:r>
          </w:p>
        </w:tc>
      </w:tr>
    </w:tbl>
    <w:p w:rsidR="001C3D29" w:rsidRDefault="001C3D29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55B45" w:rsidRDefault="0075268F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F4B61">
        <w:rPr>
          <w:sz w:val="28"/>
          <w:szCs w:val="28"/>
          <w:lang w:val="uk-UA"/>
        </w:rPr>
        <w:t>5</w:t>
      </w:r>
      <w:r w:rsidR="00255B45" w:rsidRPr="002F4B61">
        <w:rPr>
          <w:sz w:val="28"/>
          <w:szCs w:val="28"/>
          <w:lang w:val="uk-UA"/>
        </w:rPr>
        <w:t xml:space="preserve">. Розроблення </w:t>
      </w:r>
      <w:proofErr w:type="spellStart"/>
      <w:r w:rsidR="00255B45" w:rsidRPr="002F4B61">
        <w:rPr>
          <w:sz w:val="28"/>
          <w:szCs w:val="28"/>
          <w:lang w:val="uk-UA"/>
        </w:rPr>
        <w:t>корегуючих</w:t>
      </w:r>
      <w:proofErr w:type="spellEnd"/>
      <w:r w:rsidR="00255B45" w:rsidRPr="002F4B61">
        <w:rPr>
          <w:sz w:val="28"/>
          <w:szCs w:val="28"/>
          <w:lang w:val="uk-UA"/>
        </w:rPr>
        <w:t xml:space="preserve"> (пом'якшувальних) заходів для малого підприємництва щодо запропонованого регулювання</w:t>
      </w:r>
    </w:p>
    <w:p w:rsidR="001C3D29" w:rsidRPr="002F4B61" w:rsidRDefault="001C3D29" w:rsidP="001844C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55B45" w:rsidRDefault="00255B45" w:rsidP="001C3D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F4B61">
        <w:rPr>
          <w:sz w:val="28"/>
          <w:szCs w:val="28"/>
          <w:lang w:val="uk-UA"/>
        </w:rPr>
        <w:t>На основі оцінки сумарних витрат малого підприємництва на виконання</w:t>
      </w:r>
      <w:r w:rsidR="009967A8" w:rsidRPr="002F4B61">
        <w:rPr>
          <w:sz w:val="28"/>
          <w:szCs w:val="28"/>
          <w:lang w:val="uk-UA"/>
        </w:rPr>
        <w:t xml:space="preserve"> запланованого регулювання (за </w:t>
      </w:r>
      <w:r w:rsidRPr="002F4B61">
        <w:rPr>
          <w:sz w:val="28"/>
          <w:szCs w:val="28"/>
          <w:lang w:val="uk-UA"/>
        </w:rPr>
        <w:t>рік регулювання) з метою вирівнювання питомої вартості адміністративного навантаження між суб'єктами великого, середнього та малого підприємництва пропонуються такі компенсаторні механізми (наприклад, зміна періодичності надання звітів для малого чи мікро</w:t>
      </w:r>
      <w:r w:rsidR="001C3D29">
        <w:rPr>
          <w:sz w:val="28"/>
          <w:szCs w:val="28"/>
          <w:lang w:val="uk-UA"/>
        </w:rPr>
        <w:t xml:space="preserve"> </w:t>
      </w:r>
      <w:r w:rsidRPr="002F4B61">
        <w:rPr>
          <w:sz w:val="28"/>
          <w:szCs w:val="28"/>
          <w:lang w:val="uk-UA"/>
        </w:rPr>
        <w:t>підприємництва, поріг за розміром суб'єкта чи його розміром річного обороту для виключення з-під регулювання, зап</w:t>
      </w:r>
      <w:r w:rsidR="001C3D29">
        <w:rPr>
          <w:sz w:val="28"/>
          <w:szCs w:val="28"/>
          <w:lang w:val="uk-UA"/>
        </w:rPr>
        <w:t>ровадження інших компенсаторів).</w:t>
      </w:r>
    </w:p>
    <w:p w:rsidR="001C3D29" w:rsidRDefault="001C3D29" w:rsidP="001C3D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1C3D29" w:rsidRDefault="001C3D29" w:rsidP="001C3D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1C3D29" w:rsidRDefault="001C3D29" w:rsidP="001C3D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1C3D29" w:rsidRDefault="001C3D29" w:rsidP="001C3D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1C3D29" w:rsidRDefault="001C3D29" w:rsidP="001C3D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1C3D29" w:rsidRDefault="001C3D29" w:rsidP="001C3D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1C3D29" w:rsidRPr="002F4B61" w:rsidRDefault="001C3D29" w:rsidP="001C3D2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І.М. Чекаленко</w:t>
      </w:r>
      <w:bookmarkStart w:id="0" w:name="_GoBack"/>
      <w:bookmarkEnd w:id="0"/>
    </w:p>
    <w:p w:rsidR="000654D2" w:rsidRPr="002F4B61" w:rsidRDefault="000654D2" w:rsidP="001844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114E" w:rsidRPr="002F4B61" w:rsidRDefault="008A2B73" w:rsidP="001844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4B6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114E" w:rsidRPr="002F4B61" w:rsidRDefault="004D114E" w:rsidP="001844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4D114E" w:rsidRPr="002F4B61" w:rsidSect="001844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CE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1E7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7A5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380C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7C4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7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BE36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89A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340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6D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8E"/>
    <w:rsid w:val="00017FE4"/>
    <w:rsid w:val="00035D54"/>
    <w:rsid w:val="000654D2"/>
    <w:rsid w:val="00066F48"/>
    <w:rsid w:val="00084D15"/>
    <w:rsid w:val="00087B47"/>
    <w:rsid w:val="00090658"/>
    <w:rsid w:val="00096853"/>
    <w:rsid w:val="00096AF5"/>
    <w:rsid w:val="000A00A3"/>
    <w:rsid w:val="000A1BF6"/>
    <w:rsid w:val="000A4EC8"/>
    <w:rsid w:val="000A6EDD"/>
    <w:rsid w:val="000B00A0"/>
    <w:rsid w:val="000B3D05"/>
    <w:rsid w:val="000C147A"/>
    <w:rsid w:val="000E293D"/>
    <w:rsid w:val="000F299B"/>
    <w:rsid w:val="000F3C40"/>
    <w:rsid w:val="00102CC9"/>
    <w:rsid w:val="00114B4B"/>
    <w:rsid w:val="0012118E"/>
    <w:rsid w:val="0013508E"/>
    <w:rsid w:val="00137B70"/>
    <w:rsid w:val="00140533"/>
    <w:rsid w:val="001546BA"/>
    <w:rsid w:val="00155D1C"/>
    <w:rsid w:val="001844CE"/>
    <w:rsid w:val="001854A9"/>
    <w:rsid w:val="001941BE"/>
    <w:rsid w:val="001A70DF"/>
    <w:rsid w:val="001C3D29"/>
    <w:rsid w:val="001D1656"/>
    <w:rsid w:val="00202693"/>
    <w:rsid w:val="002328D8"/>
    <w:rsid w:val="00252CB3"/>
    <w:rsid w:val="00255B45"/>
    <w:rsid w:val="002737BD"/>
    <w:rsid w:val="00291F1F"/>
    <w:rsid w:val="00295F44"/>
    <w:rsid w:val="002B2F87"/>
    <w:rsid w:val="002B356A"/>
    <w:rsid w:val="002B73B9"/>
    <w:rsid w:val="002C31CA"/>
    <w:rsid w:val="002F34E7"/>
    <w:rsid w:val="002F4B61"/>
    <w:rsid w:val="00314DFA"/>
    <w:rsid w:val="00323B07"/>
    <w:rsid w:val="00342781"/>
    <w:rsid w:val="003543E1"/>
    <w:rsid w:val="00354D5B"/>
    <w:rsid w:val="00370456"/>
    <w:rsid w:val="00380DBB"/>
    <w:rsid w:val="00381856"/>
    <w:rsid w:val="0038764A"/>
    <w:rsid w:val="003A5657"/>
    <w:rsid w:val="003A6121"/>
    <w:rsid w:val="003B2827"/>
    <w:rsid w:val="003B557B"/>
    <w:rsid w:val="003C1FEC"/>
    <w:rsid w:val="003D1F19"/>
    <w:rsid w:val="003E227A"/>
    <w:rsid w:val="003E50E5"/>
    <w:rsid w:val="003E6AEE"/>
    <w:rsid w:val="003F0D8F"/>
    <w:rsid w:val="003F6F42"/>
    <w:rsid w:val="003F7AB8"/>
    <w:rsid w:val="004070C1"/>
    <w:rsid w:val="00407451"/>
    <w:rsid w:val="0041105A"/>
    <w:rsid w:val="004215FF"/>
    <w:rsid w:val="004458FA"/>
    <w:rsid w:val="00447C73"/>
    <w:rsid w:val="00452834"/>
    <w:rsid w:val="00453482"/>
    <w:rsid w:val="004702E2"/>
    <w:rsid w:val="00474B57"/>
    <w:rsid w:val="004754E9"/>
    <w:rsid w:val="004821AC"/>
    <w:rsid w:val="00487337"/>
    <w:rsid w:val="004941D6"/>
    <w:rsid w:val="004B0F4E"/>
    <w:rsid w:val="004B2EE7"/>
    <w:rsid w:val="004B451B"/>
    <w:rsid w:val="004C03E4"/>
    <w:rsid w:val="004D114E"/>
    <w:rsid w:val="004D2A8D"/>
    <w:rsid w:val="004E3177"/>
    <w:rsid w:val="00504712"/>
    <w:rsid w:val="005128BE"/>
    <w:rsid w:val="00513D9D"/>
    <w:rsid w:val="005404D8"/>
    <w:rsid w:val="00541325"/>
    <w:rsid w:val="005532AD"/>
    <w:rsid w:val="00561D24"/>
    <w:rsid w:val="0056420F"/>
    <w:rsid w:val="00567C94"/>
    <w:rsid w:val="00573216"/>
    <w:rsid w:val="00576413"/>
    <w:rsid w:val="00585DAF"/>
    <w:rsid w:val="005907EF"/>
    <w:rsid w:val="00593BB0"/>
    <w:rsid w:val="00596B70"/>
    <w:rsid w:val="005B16C4"/>
    <w:rsid w:val="005C0EE1"/>
    <w:rsid w:val="005C492F"/>
    <w:rsid w:val="005D0059"/>
    <w:rsid w:val="00604D29"/>
    <w:rsid w:val="00625157"/>
    <w:rsid w:val="00641555"/>
    <w:rsid w:val="006477C2"/>
    <w:rsid w:val="00650BF7"/>
    <w:rsid w:val="0065151E"/>
    <w:rsid w:val="00660C8D"/>
    <w:rsid w:val="00660DF4"/>
    <w:rsid w:val="00670558"/>
    <w:rsid w:val="0067442D"/>
    <w:rsid w:val="00691AD6"/>
    <w:rsid w:val="006A5608"/>
    <w:rsid w:val="006A7C7E"/>
    <w:rsid w:val="006B1641"/>
    <w:rsid w:val="006B2C28"/>
    <w:rsid w:val="006D0C13"/>
    <w:rsid w:val="006D3213"/>
    <w:rsid w:val="006E0245"/>
    <w:rsid w:val="006F580D"/>
    <w:rsid w:val="00720C16"/>
    <w:rsid w:val="007262C3"/>
    <w:rsid w:val="0075268F"/>
    <w:rsid w:val="0075677B"/>
    <w:rsid w:val="00761DC5"/>
    <w:rsid w:val="00774DE8"/>
    <w:rsid w:val="00776742"/>
    <w:rsid w:val="00784FBA"/>
    <w:rsid w:val="00791980"/>
    <w:rsid w:val="00796B4C"/>
    <w:rsid w:val="007A39EE"/>
    <w:rsid w:val="007A7418"/>
    <w:rsid w:val="007B0099"/>
    <w:rsid w:val="007C3D88"/>
    <w:rsid w:val="007D621D"/>
    <w:rsid w:val="007E37B6"/>
    <w:rsid w:val="007F317F"/>
    <w:rsid w:val="007F3771"/>
    <w:rsid w:val="007F3E58"/>
    <w:rsid w:val="007F44D5"/>
    <w:rsid w:val="007F6289"/>
    <w:rsid w:val="00802902"/>
    <w:rsid w:val="0080522F"/>
    <w:rsid w:val="00814F02"/>
    <w:rsid w:val="00834089"/>
    <w:rsid w:val="00843FD5"/>
    <w:rsid w:val="00854145"/>
    <w:rsid w:val="00865C75"/>
    <w:rsid w:val="00884F66"/>
    <w:rsid w:val="00891E5C"/>
    <w:rsid w:val="00892E43"/>
    <w:rsid w:val="00896578"/>
    <w:rsid w:val="00897351"/>
    <w:rsid w:val="008A2905"/>
    <w:rsid w:val="008A2B73"/>
    <w:rsid w:val="008A30CF"/>
    <w:rsid w:val="008A56A3"/>
    <w:rsid w:val="008B55BA"/>
    <w:rsid w:val="008D7607"/>
    <w:rsid w:val="008E2953"/>
    <w:rsid w:val="008E3C29"/>
    <w:rsid w:val="008F4573"/>
    <w:rsid w:val="008F5CD5"/>
    <w:rsid w:val="00932998"/>
    <w:rsid w:val="00944E08"/>
    <w:rsid w:val="009457D8"/>
    <w:rsid w:val="00963F3D"/>
    <w:rsid w:val="0097737E"/>
    <w:rsid w:val="0098356C"/>
    <w:rsid w:val="00991A34"/>
    <w:rsid w:val="009967A8"/>
    <w:rsid w:val="009D1ED3"/>
    <w:rsid w:val="009D3102"/>
    <w:rsid w:val="009D6541"/>
    <w:rsid w:val="009E122B"/>
    <w:rsid w:val="009E3702"/>
    <w:rsid w:val="009E49BD"/>
    <w:rsid w:val="009F2068"/>
    <w:rsid w:val="009F4561"/>
    <w:rsid w:val="009F4C9F"/>
    <w:rsid w:val="00A067BC"/>
    <w:rsid w:val="00A23833"/>
    <w:rsid w:val="00A27D85"/>
    <w:rsid w:val="00A96C3A"/>
    <w:rsid w:val="00A97493"/>
    <w:rsid w:val="00AA2376"/>
    <w:rsid w:val="00AA710D"/>
    <w:rsid w:val="00AB312B"/>
    <w:rsid w:val="00AB6806"/>
    <w:rsid w:val="00AC030D"/>
    <w:rsid w:val="00AE1541"/>
    <w:rsid w:val="00AE1650"/>
    <w:rsid w:val="00AE1F8B"/>
    <w:rsid w:val="00B30434"/>
    <w:rsid w:val="00B3591C"/>
    <w:rsid w:val="00B41674"/>
    <w:rsid w:val="00B41D24"/>
    <w:rsid w:val="00B65FAF"/>
    <w:rsid w:val="00B75FFE"/>
    <w:rsid w:val="00B81063"/>
    <w:rsid w:val="00B84226"/>
    <w:rsid w:val="00B94011"/>
    <w:rsid w:val="00B9404B"/>
    <w:rsid w:val="00B9780A"/>
    <w:rsid w:val="00BA6B4B"/>
    <w:rsid w:val="00BA72BB"/>
    <w:rsid w:val="00BA75BD"/>
    <w:rsid w:val="00BC1F30"/>
    <w:rsid w:val="00BD1A21"/>
    <w:rsid w:val="00BF29A1"/>
    <w:rsid w:val="00C0185C"/>
    <w:rsid w:val="00C07E8F"/>
    <w:rsid w:val="00C46096"/>
    <w:rsid w:val="00C47E1B"/>
    <w:rsid w:val="00C6273D"/>
    <w:rsid w:val="00C743FB"/>
    <w:rsid w:val="00CB6DA5"/>
    <w:rsid w:val="00CD160D"/>
    <w:rsid w:val="00CE5DA7"/>
    <w:rsid w:val="00D37645"/>
    <w:rsid w:val="00D41813"/>
    <w:rsid w:val="00D44B25"/>
    <w:rsid w:val="00D44E8E"/>
    <w:rsid w:val="00D94C1F"/>
    <w:rsid w:val="00DA05A0"/>
    <w:rsid w:val="00DB28F8"/>
    <w:rsid w:val="00DB3035"/>
    <w:rsid w:val="00DB5884"/>
    <w:rsid w:val="00DB6182"/>
    <w:rsid w:val="00DC3C50"/>
    <w:rsid w:val="00DE2C12"/>
    <w:rsid w:val="00DE3D5F"/>
    <w:rsid w:val="00DE5381"/>
    <w:rsid w:val="00DF1AAB"/>
    <w:rsid w:val="00E059E6"/>
    <w:rsid w:val="00E14A12"/>
    <w:rsid w:val="00E14C87"/>
    <w:rsid w:val="00E322C7"/>
    <w:rsid w:val="00E44FF2"/>
    <w:rsid w:val="00E50474"/>
    <w:rsid w:val="00E773CB"/>
    <w:rsid w:val="00E9454A"/>
    <w:rsid w:val="00EA638B"/>
    <w:rsid w:val="00EB5A87"/>
    <w:rsid w:val="00ED7180"/>
    <w:rsid w:val="00EF2664"/>
    <w:rsid w:val="00F01E3E"/>
    <w:rsid w:val="00F03471"/>
    <w:rsid w:val="00F06BE7"/>
    <w:rsid w:val="00F12C7C"/>
    <w:rsid w:val="00F16B89"/>
    <w:rsid w:val="00F23989"/>
    <w:rsid w:val="00F43B40"/>
    <w:rsid w:val="00F506C3"/>
    <w:rsid w:val="00F55AC5"/>
    <w:rsid w:val="00F644F3"/>
    <w:rsid w:val="00F75ACA"/>
    <w:rsid w:val="00F763AE"/>
    <w:rsid w:val="00F818AF"/>
    <w:rsid w:val="00F848CD"/>
    <w:rsid w:val="00F87B98"/>
    <w:rsid w:val="00F94FDB"/>
    <w:rsid w:val="00F9582F"/>
    <w:rsid w:val="00FC5B64"/>
    <w:rsid w:val="00FE6AEE"/>
    <w:rsid w:val="00FE7DC4"/>
    <w:rsid w:val="00FF2608"/>
    <w:rsid w:val="00FF527D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A386"/>
  <w15:docId w15:val="{4EEAB4CA-D6DF-47DB-AA90-E911108F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D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255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135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7">
    <w:name w:val="rvps7"/>
    <w:basedOn w:val="a"/>
    <w:rsid w:val="00135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3508E"/>
  </w:style>
  <w:style w:type="paragraph" w:customStyle="1" w:styleId="rvps2">
    <w:name w:val="rvps2"/>
    <w:basedOn w:val="a"/>
    <w:rsid w:val="00135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135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8">
    <w:name w:val="rvps8"/>
    <w:basedOn w:val="a"/>
    <w:rsid w:val="00135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13508E"/>
  </w:style>
  <w:style w:type="paragraph" w:customStyle="1" w:styleId="rvps3">
    <w:name w:val="rvps3"/>
    <w:basedOn w:val="a"/>
    <w:rsid w:val="00135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13508E"/>
  </w:style>
  <w:style w:type="character" w:customStyle="1" w:styleId="rvts11">
    <w:name w:val="rvts11"/>
    <w:basedOn w:val="a0"/>
    <w:rsid w:val="0013508E"/>
  </w:style>
  <w:style w:type="character" w:customStyle="1" w:styleId="30">
    <w:name w:val="Заголовок 3 Знак"/>
    <w:link w:val="3"/>
    <w:rsid w:val="00255B45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rsid w:val="00255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Стиль2"/>
    <w:basedOn w:val="a4"/>
    <w:rsid w:val="002B2F87"/>
  </w:style>
  <w:style w:type="paragraph" w:customStyle="1" w:styleId="a5">
    <w:name w:val="Стиль Знак"/>
    <w:basedOn w:val="a"/>
    <w:rsid w:val="002B2F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line number"/>
    <w:basedOn w:val="a0"/>
    <w:unhideWhenUsed/>
    <w:rsid w:val="002B2F87"/>
  </w:style>
  <w:style w:type="character" w:styleId="a6">
    <w:name w:val="Hyperlink"/>
    <w:rsid w:val="00802902"/>
    <w:rPr>
      <w:color w:val="0000FF"/>
      <w:u w:val="single"/>
    </w:rPr>
  </w:style>
  <w:style w:type="paragraph" w:styleId="a7">
    <w:name w:val="Body Text Indent"/>
    <w:basedOn w:val="a"/>
    <w:link w:val="a8"/>
    <w:rsid w:val="0080290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rsid w:val="00802902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80522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522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0">
    <w:name w:val="Основной текст (2)_"/>
    <w:basedOn w:val="a0"/>
    <w:rsid w:val="002F4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2F4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15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Reanimator Extreme Edition</Company>
  <LinksUpToDate>false</LinksUpToDate>
  <CharactersWithSpaces>22486</CharactersWithSpaces>
  <SharedDoc>false</SharedDoc>
  <HLinks>
    <vt:vector size="6" baseType="variant">
      <vt:variant>
        <vt:i4>7602282</vt:i4>
      </vt:variant>
      <vt:variant>
        <vt:i4>0</vt:i4>
      </vt:variant>
      <vt:variant>
        <vt:i4>0</vt:i4>
      </vt:variant>
      <vt:variant>
        <vt:i4>5</vt:i4>
      </vt:variant>
      <vt:variant>
        <vt:lpwstr>http://mradapology.gov.ua/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1</dc:creator>
  <cp:lastModifiedBy>Наташа</cp:lastModifiedBy>
  <cp:revision>19</cp:revision>
  <cp:lastPrinted>2018-05-03T13:37:00Z</cp:lastPrinted>
  <dcterms:created xsi:type="dcterms:W3CDTF">2019-05-28T19:56:00Z</dcterms:created>
  <dcterms:modified xsi:type="dcterms:W3CDTF">2019-05-30T11:52:00Z</dcterms:modified>
</cp:coreProperties>
</file>