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49" w:rsidRPr="00647F08" w:rsidRDefault="00964349" w:rsidP="00964349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val="uk-UA"/>
        </w:rPr>
      </w:pPr>
      <w:r w:rsidRPr="00647F08">
        <w:rPr>
          <w:rFonts w:ascii="Times New Roman" w:hAnsi="Times New Roman"/>
          <w:lang w:val="uk-UA"/>
        </w:rPr>
        <w:t>Додаток 1</w:t>
      </w:r>
    </w:p>
    <w:p w:rsidR="00964349" w:rsidRPr="00647F08" w:rsidRDefault="00964349" w:rsidP="00964349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val="uk-UA"/>
        </w:rPr>
      </w:pPr>
      <w:r w:rsidRPr="00647F08">
        <w:rPr>
          <w:rFonts w:ascii="Times New Roman" w:hAnsi="Times New Roman"/>
          <w:lang w:val="uk-UA"/>
        </w:rPr>
        <w:t>до рішення сільської ради</w:t>
      </w:r>
    </w:p>
    <w:p w:rsidR="00964349" w:rsidRPr="00647F08" w:rsidRDefault="00964349" w:rsidP="00964349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val="uk-UA"/>
        </w:rPr>
      </w:pPr>
      <w:r w:rsidRPr="00647F08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26.06.2019 року № 33-7</w:t>
      </w:r>
      <w:r w:rsidRPr="00647F08">
        <w:rPr>
          <w:rFonts w:ascii="Times New Roman" w:hAnsi="Times New Roman"/>
          <w:lang w:val="uk-UA"/>
        </w:rPr>
        <w:t>/</w:t>
      </w:r>
      <w:r w:rsidRPr="00647F08">
        <w:rPr>
          <w:rFonts w:ascii="Times New Roman" w:hAnsi="Times New Roman"/>
          <w:lang w:val="en-US"/>
        </w:rPr>
        <w:t>V</w:t>
      </w:r>
      <w:r w:rsidRPr="00647F08">
        <w:rPr>
          <w:rFonts w:ascii="Times New Roman" w:hAnsi="Times New Roman"/>
          <w:lang w:val="uk-UA"/>
        </w:rPr>
        <w:t>ІІ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F08">
        <w:rPr>
          <w:rFonts w:ascii="Times New Roman" w:hAnsi="Times New Roman"/>
          <w:b/>
          <w:sz w:val="28"/>
          <w:szCs w:val="28"/>
          <w:lang w:val="uk-UA"/>
        </w:rPr>
        <w:t xml:space="preserve">Програма боротьби з амброзією </w:t>
      </w:r>
      <w:proofErr w:type="spellStart"/>
      <w:r w:rsidRPr="00647F08">
        <w:rPr>
          <w:rFonts w:ascii="Times New Roman" w:hAnsi="Times New Roman"/>
          <w:b/>
          <w:sz w:val="28"/>
          <w:szCs w:val="28"/>
          <w:lang w:val="uk-UA"/>
        </w:rPr>
        <w:t>полинолистою</w:t>
      </w:r>
      <w:proofErr w:type="spellEnd"/>
      <w:r w:rsidRPr="00647F08">
        <w:rPr>
          <w:rFonts w:ascii="Times New Roman" w:hAnsi="Times New Roman"/>
          <w:b/>
          <w:sz w:val="28"/>
          <w:szCs w:val="28"/>
          <w:lang w:val="uk-UA"/>
        </w:rPr>
        <w:t xml:space="preserve"> на тер</w:t>
      </w:r>
      <w:proofErr w:type="spellStart"/>
      <w:r w:rsidRPr="00647F08">
        <w:rPr>
          <w:rFonts w:ascii="Times New Roman" w:hAnsi="Times New Roman"/>
          <w:b/>
          <w:sz w:val="28"/>
          <w:szCs w:val="28"/>
        </w:rPr>
        <w:t>иторії</w:t>
      </w:r>
      <w:proofErr w:type="spellEnd"/>
      <w:r w:rsidRPr="00647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b/>
          <w:sz w:val="28"/>
          <w:szCs w:val="28"/>
        </w:rPr>
        <w:t>Степанківської</w:t>
      </w:r>
      <w:proofErr w:type="spellEnd"/>
      <w:r w:rsidRPr="00647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b/>
          <w:sz w:val="28"/>
          <w:szCs w:val="28"/>
        </w:rPr>
        <w:t>об’єднаної</w:t>
      </w:r>
      <w:proofErr w:type="spellEnd"/>
      <w:r w:rsidRPr="00647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647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647F08">
        <w:rPr>
          <w:rFonts w:ascii="Times New Roman" w:hAnsi="Times New Roman"/>
          <w:b/>
          <w:sz w:val="28"/>
          <w:szCs w:val="28"/>
        </w:rPr>
        <w:t xml:space="preserve"> на 2019-2021 роки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І. ЗАГАЛЬНІ ПОЛОЖЕННЯ</w:t>
      </w:r>
    </w:p>
    <w:p w:rsidR="00964349" w:rsidRPr="00647F08" w:rsidRDefault="00964349" w:rsidP="00964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амброзією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2019 - 2021 роки (</w:t>
      </w:r>
      <w:proofErr w:type="spellStart"/>
      <w:r w:rsidRPr="00647F08">
        <w:rPr>
          <w:rFonts w:ascii="Times New Roman" w:hAnsi="Times New Roman"/>
          <w:sz w:val="28"/>
          <w:szCs w:val="28"/>
        </w:rPr>
        <w:t>далі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розроблена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статті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34, 49 Закону </w:t>
      </w:r>
      <w:proofErr w:type="spellStart"/>
      <w:r w:rsidRPr="00647F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«Про карантин </w:t>
      </w:r>
      <w:proofErr w:type="spellStart"/>
      <w:r w:rsidRPr="00647F08">
        <w:rPr>
          <w:rFonts w:ascii="Times New Roman" w:hAnsi="Times New Roman"/>
          <w:sz w:val="28"/>
          <w:szCs w:val="28"/>
        </w:rPr>
        <w:t>рослин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Pr="00647F08">
        <w:rPr>
          <w:rFonts w:ascii="Times New Roman" w:hAnsi="Times New Roman"/>
          <w:sz w:val="28"/>
          <w:szCs w:val="28"/>
        </w:rPr>
        <w:t>очікуваним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результатом </w:t>
      </w:r>
      <w:proofErr w:type="spellStart"/>
      <w:r w:rsidRPr="00647F08">
        <w:rPr>
          <w:rFonts w:ascii="Times New Roman" w:hAnsi="Times New Roman"/>
          <w:sz w:val="28"/>
          <w:szCs w:val="28"/>
        </w:rPr>
        <w:t>являється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протидія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деградації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земель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погіршення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якості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угідь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47F08">
        <w:rPr>
          <w:rFonts w:ascii="Times New Roman" w:hAnsi="Times New Roman"/>
          <w:sz w:val="28"/>
          <w:szCs w:val="28"/>
        </w:rPr>
        <w:t>також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у природному </w:t>
      </w:r>
      <w:proofErr w:type="spellStart"/>
      <w:r w:rsidRPr="00647F08">
        <w:rPr>
          <w:rFonts w:ascii="Times New Roman" w:hAnsi="Times New Roman"/>
          <w:sz w:val="28"/>
          <w:szCs w:val="28"/>
        </w:rPr>
        <w:t>чи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близькому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до природного </w:t>
      </w:r>
      <w:proofErr w:type="spellStart"/>
      <w:r w:rsidRPr="00647F08">
        <w:rPr>
          <w:rFonts w:ascii="Times New Roman" w:hAnsi="Times New Roman"/>
          <w:sz w:val="28"/>
          <w:szCs w:val="28"/>
        </w:rPr>
        <w:t>стані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направлених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локалізацію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ліквідацію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вогнищ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небезпечного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карантинного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F08">
        <w:rPr>
          <w:rFonts w:ascii="Times New Roman" w:hAnsi="Times New Roman"/>
          <w:sz w:val="28"/>
          <w:szCs w:val="28"/>
        </w:rPr>
        <w:t>Серед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великої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приносить особливо </w:t>
      </w:r>
      <w:proofErr w:type="spellStart"/>
      <w:r w:rsidRPr="00647F08">
        <w:rPr>
          <w:rFonts w:ascii="Times New Roman" w:hAnsi="Times New Roman"/>
          <w:sz w:val="28"/>
          <w:szCs w:val="28"/>
        </w:rPr>
        <w:t>великі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втрати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сільському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господарстві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647F08">
        <w:rPr>
          <w:rFonts w:ascii="Times New Roman" w:hAnsi="Times New Roman"/>
          <w:sz w:val="28"/>
          <w:szCs w:val="28"/>
        </w:rPr>
        <w:t>цьому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являючись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злісним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бур’яном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F08">
        <w:rPr>
          <w:rFonts w:ascii="Times New Roman" w:hAnsi="Times New Roman"/>
          <w:sz w:val="28"/>
          <w:szCs w:val="28"/>
        </w:rPr>
        <w:t>Рослини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величезну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пилку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насіння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F08">
        <w:rPr>
          <w:rFonts w:ascii="Times New Roman" w:hAnsi="Times New Roman"/>
          <w:sz w:val="28"/>
          <w:szCs w:val="28"/>
        </w:rPr>
        <w:t>Квітковий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пилок є </w:t>
      </w:r>
      <w:proofErr w:type="spellStart"/>
      <w:r w:rsidRPr="00647F08">
        <w:rPr>
          <w:rFonts w:ascii="Times New Roman" w:hAnsi="Times New Roman"/>
          <w:sz w:val="28"/>
          <w:szCs w:val="28"/>
        </w:rPr>
        <w:t>дуже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небезпечним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шкідливим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47F08">
        <w:rPr>
          <w:rFonts w:ascii="Times New Roman" w:hAnsi="Times New Roman"/>
          <w:sz w:val="28"/>
          <w:szCs w:val="28"/>
        </w:rPr>
        <w:t>людини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при </w:t>
      </w:r>
      <w:proofErr w:type="spellStart"/>
      <w:r w:rsidRPr="00647F08">
        <w:rPr>
          <w:rFonts w:ascii="Times New Roman" w:hAnsi="Times New Roman"/>
          <w:sz w:val="28"/>
          <w:szCs w:val="28"/>
        </w:rPr>
        <w:t>вдиханні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повітрям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викликає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алергійне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амброзійний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поліноз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Хвороба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протікає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47F08">
        <w:rPr>
          <w:rFonts w:ascii="Times New Roman" w:hAnsi="Times New Roman"/>
          <w:sz w:val="28"/>
          <w:szCs w:val="28"/>
        </w:rPr>
        <w:t>вигляді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різко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вираженого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алергійного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риніту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кон’юктивіту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бронхіальної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астми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мігрені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кропивниці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супроводжується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значним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знесиленням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F08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алергії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спричиненої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пилком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тривале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647F08">
        <w:rPr>
          <w:rFonts w:ascii="Times New Roman" w:hAnsi="Times New Roman"/>
          <w:sz w:val="28"/>
          <w:szCs w:val="28"/>
        </w:rPr>
        <w:t>важке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F08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вплив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значно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посилюється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47F08">
        <w:rPr>
          <w:rFonts w:ascii="Times New Roman" w:hAnsi="Times New Roman"/>
          <w:sz w:val="28"/>
          <w:szCs w:val="28"/>
        </w:rPr>
        <w:t>її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проникненні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необроблювані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землі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порушеним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трав’янистим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покривом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647F08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647F08">
        <w:rPr>
          <w:rFonts w:ascii="Times New Roman" w:hAnsi="Times New Roman"/>
          <w:sz w:val="28"/>
          <w:szCs w:val="28"/>
        </w:rPr>
        <w:t>більшості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647F08">
        <w:rPr>
          <w:rFonts w:ascii="Times New Roman" w:hAnsi="Times New Roman"/>
          <w:sz w:val="28"/>
          <w:szCs w:val="28"/>
        </w:rPr>
        <w:t>складі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рослинності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таких земель </w:t>
      </w:r>
      <w:proofErr w:type="spellStart"/>
      <w:r w:rsidRPr="00647F08">
        <w:rPr>
          <w:rFonts w:ascii="Times New Roman" w:hAnsi="Times New Roman"/>
          <w:sz w:val="28"/>
          <w:szCs w:val="28"/>
        </w:rPr>
        <w:t>конкурентоздатних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рослин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найкращі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умови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росту і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карантинного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якого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може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дорівнювати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декількох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тисяч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квадратному </w:t>
      </w:r>
      <w:proofErr w:type="spellStart"/>
      <w:r w:rsidRPr="00647F08">
        <w:rPr>
          <w:rFonts w:ascii="Times New Roman" w:hAnsi="Times New Roman"/>
          <w:sz w:val="28"/>
          <w:szCs w:val="28"/>
        </w:rPr>
        <w:t>метрі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рослини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спроможні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накопичувати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47F08">
        <w:rPr>
          <w:rFonts w:ascii="Times New Roman" w:hAnsi="Times New Roman"/>
          <w:sz w:val="28"/>
          <w:szCs w:val="28"/>
        </w:rPr>
        <w:t>вегетаційний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період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до 10 тонн/га </w:t>
      </w:r>
      <w:proofErr w:type="spellStart"/>
      <w:r w:rsidRPr="00647F08">
        <w:rPr>
          <w:rFonts w:ascii="Times New Roman" w:hAnsi="Times New Roman"/>
          <w:sz w:val="28"/>
          <w:szCs w:val="28"/>
        </w:rPr>
        <w:t>фітомаси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2. ПРОБЛЕМИ, НА РОЗВ’ЯЗАННЯ ЯКИХ СПРЯМОВАНА ПРОГРАМА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Згідно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Законом </w:t>
      </w:r>
      <w:proofErr w:type="spellStart"/>
      <w:r w:rsidRPr="00647F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47F08">
        <w:rPr>
          <w:rFonts w:ascii="Times New Roman" w:hAnsi="Times New Roman"/>
          <w:sz w:val="28"/>
          <w:szCs w:val="28"/>
        </w:rPr>
        <w:t>місцеве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47F0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  в  </w:t>
      </w:r>
      <w:proofErr w:type="spellStart"/>
      <w:r w:rsidRPr="00647F0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», Законом </w:t>
      </w:r>
      <w:proofErr w:type="spellStart"/>
      <w:r w:rsidRPr="00647F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«Про карантин </w:t>
      </w:r>
      <w:proofErr w:type="spellStart"/>
      <w:r w:rsidRPr="00647F08">
        <w:rPr>
          <w:rFonts w:ascii="Times New Roman" w:hAnsi="Times New Roman"/>
          <w:sz w:val="28"/>
          <w:szCs w:val="28"/>
        </w:rPr>
        <w:t>рослин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», у </w:t>
      </w:r>
      <w:proofErr w:type="spellStart"/>
      <w:r w:rsidRPr="00647F08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неякісними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або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необхідного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небезпечними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організмом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47F08">
        <w:rPr>
          <w:rFonts w:ascii="Times New Roman" w:hAnsi="Times New Roman"/>
          <w:sz w:val="28"/>
          <w:szCs w:val="28"/>
        </w:rPr>
        <w:t>саме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амброзією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що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набуває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дедалі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ширшого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виникла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амброзією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2019-2021 роки (</w:t>
      </w:r>
      <w:proofErr w:type="spellStart"/>
      <w:r w:rsidRPr="00647F08">
        <w:rPr>
          <w:rFonts w:ascii="Times New Roman" w:hAnsi="Times New Roman"/>
          <w:sz w:val="28"/>
          <w:szCs w:val="28"/>
        </w:rPr>
        <w:t>далі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47F08">
        <w:rPr>
          <w:rFonts w:ascii="Times New Roman" w:hAnsi="Times New Roman"/>
          <w:sz w:val="28"/>
          <w:szCs w:val="28"/>
        </w:rPr>
        <w:t>).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Амброзія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засмічує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подвір’я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вулиці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присадибні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сади, парки, городи, </w:t>
      </w:r>
      <w:proofErr w:type="spellStart"/>
      <w:r w:rsidRPr="00647F08">
        <w:rPr>
          <w:rFonts w:ascii="Times New Roman" w:hAnsi="Times New Roman"/>
          <w:sz w:val="28"/>
          <w:szCs w:val="28"/>
        </w:rPr>
        <w:t>пустирі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узбіччя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доріг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залізничні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насипи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прилеглі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землі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береги </w:t>
      </w:r>
      <w:proofErr w:type="spellStart"/>
      <w:r w:rsidRPr="00647F08">
        <w:rPr>
          <w:rFonts w:ascii="Times New Roman" w:hAnsi="Times New Roman"/>
          <w:sz w:val="28"/>
          <w:szCs w:val="28"/>
        </w:rPr>
        <w:t>річок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ставків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На полях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засмічує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посіви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особливо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просапних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r w:rsidRPr="00647F08">
        <w:rPr>
          <w:rFonts w:ascii="Times New Roman" w:hAnsi="Times New Roman"/>
          <w:sz w:val="28"/>
          <w:szCs w:val="28"/>
        </w:rPr>
        <w:lastRenderedPageBreak/>
        <w:t xml:space="preserve">культур, </w:t>
      </w:r>
      <w:proofErr w:type="spellStart"/>
      <w:r w:rsidRPr="00647F08">
        <w:rPr>
          <w:rFonts w:ascii="Times New Roman" w:hAnsi="Times New Roman"/>
          <w:sz w:val="28"/>
          <w:szCs w:val="28"/>
        </w:rPr>
        <w:t>озимих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ярих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культур, </w:t>
      </w:r>
      <w:proofErr w:type="spellStart"/>
      <w:r w:rsidRPr="00647F08">
        <w:rPr>
          <w:rFonts w:ascii="Times New Roman" w:hAnsi="Times New Roman"/>
          <w:sz w:val="28"/>
          <w:szCs w:val="28"/>
        </w:rPr>
        <w:t>багаторічних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однорічних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кормових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трав, </w:t>
      </w:r>
      <w:proofErr w:type="spellStart"/>
      <w:r w:rsidRPr="00647F08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полезахисні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смуги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F08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високу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ступінь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пластичності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повітря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вологості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ґрунту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високу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насіннєву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продуктивність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(30-100тис.штук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насіння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однієї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рослини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647F08">
        <w:rPr>
          <w:rFonts w:ascii="Times New Roman" w:hAnsi="Times New Roman"/>
          <w:sz w:val="28"/>
          <w:szCs w:val="28"/>
        </w:rPr>
        <w:t>також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647F08">
        <w:rPr>
          <w:rFonts w:ascii="Times New Roman" w:hAnsi="Times New Roman"/>
          <w:sz w:val="28"/>
          <w:szCs w:val="28"/>
        </w:rPr>
        <w:t>що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пилок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під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47F08">
        <w:rPr>
          <w:rFonts w:ascii="Times New Roman" w:hAnsi="Times New Roman"/>
          <w:sz w:val="28"/>
          <w:szCs w:val="28"/>
        </w:rPr>
        <w:t>цвітіння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шкодить </w:t>
      </w:r>
      <w:proofErr w:type="spellStart"/>
      <w:r w:rsidRPr="00647F08">
        <w:rPr>
          <w:rFonts w:ascii="Times New Roman" w:hAnsi="Times New Roman"/>
          <w:sz w:val="28"/>
          <w:szCs w:val="28"/>
        </w:rPr>
        <w:t>здоров’ю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людей і </w:t>
      </w:r>
      <w:proofErr w:type="spellStart"/>
      <w:r w:rsidRPr="00647F08">
        <w:rPr>
          <w:rFonts w:ascii="Times New Roman" w:hAnsi="Times New Roman"/>
          <w:sz w:val="28"/>
          <w:szCs w:val="28"/>
        </w:rPr>
        <w:t>тварин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все </w:t>
      </w:r>
      <w:proofErr w:type="spellStart"/>
      <w:r w:rsidRPr="00647F08">
        <w:rPr>
          <w:rFonts w:ascii="Times New Roman" w:hAnsi="Times New Roman"/>
          <w:sz w:val="28"/>
          <w:szCs w:val="28"/>
        </w:rPr>
        <w:t>це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свідчить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47F08">
        <w:rPr>
          <w:rFonts w:ascii="Times New Roman" w:hAnsi="Times New Roman"/>
          <w:sz w:val="28"/>
          <w:szCs w:val="28"/>
        </w:rPr>
        <w:t>неабияку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небезпечність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особливої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уваги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нею.</w:t>
      </w:r>
    </w:p>
    <w:p w:rsidR="00964349" w:rsidRPr="00647F08" w:rsidRDefault="00964349" w:rsidP="00964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Зважаючи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небезпечність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карантинного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амброзією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є одним з </w:t>
      </w:r>
      <w:proofErr w:type="spellStart"/>
      <w:r w:rsidRPr="00647F08">
        <w:rPr>
          <w:rFonts w:ascii="Times New Roman" w:hAnsi="Times New Roman"/>
          <w:sz w:val="28"/>
          <w:szCs w:val="28"/>
        </w:rPr>
        <w:t>пріоритетних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проблем в </w:t>
      </w:r>
      <w:proofErr w:type="spellStart"/>
      <w:r w:rsidRPr="00647F08">
        <w:rPr>
          <w:rFonts w:ascii="Times New Roman" w:hAnsi="Times New Roman"/>
          <w:sz w:val="28"/>
          <w:szCs w:val="28"/>
        </w:rPr>
        <w:t>галузі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комплексу району шляхом </w:t>
      </w:r>
      <w:proofErr w:type="spellStart"/>
      <w:r w:rsidRPr="00647F08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коштів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3. МЕТА ПРОГРАМИ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647F08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647F08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вогнищ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647F08">
        <w:rPr>
          <w:rFonts w:ascii="Times New Roman" w:hAnsi="Times New Roman"/>
          <w:sz w:val="28"/>
          <w:szCs w:val="28"/>
        </w:rPr>
        <w:t>т.ч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ОТГ, в тому </w:t>
      </w:r>
      <w:proofErr w:type="spellStart"/>
      <w:r w:rsidRPr="00647F08">
        <w:rPr>
          <w:rFonts w:ascii="Times New Roman" w:hAnsi="Times New Roman"/>
          <w:sz w:val="28"/>
          <w:szCs w:val="28"/>
        </w:rPr>
        <w:t>числі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сільгоспугіддях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землях </w:t>
      </w:r>
      <w:proofErr w:type="spellStart"/>
      <w:r w:rsidRPr="00647F08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фонду;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647F08">
        <w:rPr>
          <w:rFonts w:ascii="Times New Roman" w:hAnsi="Times New Roman"/>
          <w:sz w:val="28"/>
          <w:szCs w:val="28"/>
        </w:rPr>
        <w:t>Зменшенні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алергію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серед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із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цвітінням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підвищенні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сільськогосподарської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посиленні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уваги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широких </w:t>
      </w:r>
      <w:proofErr w:type="spellStart"/>
      <w:r w:rsidRPr="00647F08">
        <w:rPr>
          <w:rFonts w:ascii="Times New Roman" w:hAnsi="Times New Roman"/>
          <w:sz w:val="28"/>
          <w:szCs w:val="28"/>
        </w:rPr>
        <w:t>верств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7F08">
        <w:rPr>
          <w:rFonts w:ascii="Times New Roman" w:hAnsi="Times New Roman"/>
          <w:sz w:val="28"/>
          <w:szCs w:val="28"/>
        </w:rPr>
        <w:t>існуючої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647F08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знань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роз’яснень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шкідливості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бур’яну-алергену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приведенні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7F08">
        <w:rPr>
          <w:rFonts w:ascii="Times New Roman" w:hAnsi="Times New Roman"/>
          <w:sz w:val="28"/>
          <w:szCs w:val="28"/>
        </w:rPr>
        <w:t>належний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фітосанітарний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естетичний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647F0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карантинного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від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647F08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громадянами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 </w:t>
      </w:r>
    </w:p>
    <w:p w:rsidR="00964349" w:rsidRPr="00647F08" w:rsidRDefault="00964349" w:rsidP="00964349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4. ОСНОВНІ ЗАВДАННЯ ТА ЗАХОДИ ПРОГРАМИ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4.1. </w:t>
      </w:r>
      <w:proofErr w:type="spellStart"/>
      <w:r w:rsidRPr="00647F0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в т. ч.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амброзією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спец </w:t>
      </w:r>
      <w:proofErr w:type="spellStart"/>
      <w:r w:rsidRPr="00647F08">
        <w:rPr>
          <w:rFonts w:ascii="Times New Roman" w:hAnsi="Times New Roman"/>
          <w:sz w:val="28"/>
          <w:szCs w:val="28"/>
        </w:rPr>
        <w:t>інвентаря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спецтехніки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47F0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ними.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4.2. </w:t>
      </w:r>
      <w:proofErr w:type="spellStart"/>
      <w:r w:rsidRPr="00647F0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647F08">
        <w:rPr>
          <w:rFonts w:ascii="Times New Roman" w:hAnsi="Times New Roman"/>
          <w:sz w:val="28"/>
          <w:szCs w:val="28"/>
        </w:rPr>
        <w:t>карти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вогнищами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4.3. </w:t>
      </w:r>
      <w:proofErr w:type="spellStart"/>
      <w:r w:rsidRPr="00647F08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площ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вогнищ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647F08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647F08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методів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47F08">
        <w:rPr>
          <w:rFonts w:ascii="Times New Roman" w:hAnsi="Times New Roman"/>
          <w:sz w:val="28"/>
          <w:szCs w:val="28"/>
        </w:rPr>
        <w:t>агротехнічних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механічних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4.4. </w:t>
      </w:r>
      <w:proofErr w:type="spellStart"/>
      <w:r w:rsidRPr="00647F0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земель і </w:t>
      </w:r>
      <w:proofErr w:type="spellStart"/>
      <w:r w:rsidRPr="00647F08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природної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родючості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ґрунтів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багаторічних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земель.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4.5. 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роз’яснювальної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роботи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серед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сільгоспвиробників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методів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методів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ними.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lastRenderedPageBreak/>
        <w:t>4.6. </w:t>
      </w:r>
      <w:proofErr w:type="spellStart"/>
      <w:r w:rsidRPr="00647F08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динаміки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місць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47F08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поширенню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у т. ч.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бур’янів-алергенів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4.7. </w:t>
      </w:r>
      <w:proofErr w:type="spellStart"/>
      <w:r w:rsidRPr="00647F0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обстежень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адмінтериторій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пунктів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47F08">
        <w:rPr>
          <w:rFonts w:ascii="Times New Roman" w:hAnsi="Times New Roman"/>
          <w:sz w:val="28"/>
          <w:szCs w:val="28"/>
        </w:rPr>
        <w:t>підконтрольних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сільгоспугідь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земель </w:t>
      </w:r>
      <w:proofErr w:type="spellStart"/>
      <w:r w:rsidRPr="00647F08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фонду та </w:t>
      </w:r>
      <w:proofErr w:type="spellStart"/>
      <w:r w:rsidRPr="00647F08">
        <w:rPr>
          <w:rFonts w:ascii="Times New Roman" w:hAnsi="Times New Roman"/>
          <w:sz w:val="28"/>
          <w:szCs w:val="28"/>
        </w:rPr>
        <w:t>інших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земель для </w:t>
      </w:r>
      <w:proofErr w:type="spellStart"/>
      <w:r w:rsidRPr="00647F08">
        <w:rPr>
          <w:rFonts w:ascii="Times New Roman" w:hAnsi="Times New Roman"/>
          <w:sz w:val="28"/>
          <w:szCs w:val="28"/>
        </w:rPr>
        <w:t>вжиття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системи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локалізації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у т. ч.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бур’янів-алергенів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4.8. </w:t>
      </w:r>
      <w:proofErr w:type="spellStart"/>
      <w:r w:rsidRPr="00647F08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647F08">
        <w:rPr>
          <w:rFonts w:ascii="Times New Roman" w:hAnsi="Times New Roman"/>
          <w:sz w:val="28"/>
          <w:szCs w:val="28"/>
        </w:rPr>
        <w:t>серед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сільгоспвиробників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647F08">
        <w:rPr>
          <w:rFonts w:ascii="Times New Roman" w:hAnsi="Times New Roman"/>
          <w:sz w:val="28"/>
          <w:szCs w:val="28"/>
        </w:rPr>
        <w:t>обстежень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методів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ними.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4.9.  </w:t>
      </w:r>
      <w:proofErr w:type="spellStart"/>
      <w:r w:rsidRPr="00647F08">
        <w:rPr>
          <w:rFonts w:ascii="Times New Roman" w:hAnsi="Times New Roman"/>
          <w:sz w:val="28"/>
          <w:szCs w:val="28"/>
        </w:rPr>
        <w:t>Щороку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7F08">
        <w:rPr>
          <w:rFonts w:ascii="Times New Roman" w:hAnsi="Times New Roman"/>
          <w:sz w:val="28"/>
          <w:szCs w:val="28"/>
        </w:rPr>
        <w:t>червні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серпні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сільській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47F08">
        <w:rPr>
          <w:rFonts w:ascii="Times New Roman" w:hAnsi="Times New Roman"/>
          <w:sz w:val="28"/>
          <w:szCs w:val="28"/>
        </w:rPr>
        <w:t>раді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місячники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бур’янами-алергенами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7F08">
        <w:rPr>
          <w:rFonts w:ascii="Times New Roman" w:hAnsi="Times New Roman"/>
          <w:sz w:val="28"/>
          <w:szCs w:val="28"/>
        </w:rPr>
        <w:t>цих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установи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мобілізовувати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інвентар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7F08">
        <w:rPr>
          <w:rFonts w:ascii="Times New Roman" w:hAnsi="Times New Roman"/>
          <w:sz w:val="28"/>
          <w:szCs w:val="28"/>
        </w:rPr>
        <w:t>спецтехніку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4.10. </w:t>
      </w:r>
      <w:proofErr w:type="spellStart"/>
      <w:r w:rsidRPr="00647F0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 бюджету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щодо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наявними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карантинними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організмами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5.  ДЖЕРЕЛА ФІНАНСУВАННЯ ПРОГРАМИ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7F08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47F0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коштів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647F08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інших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джерел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647F0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чинним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Кошториси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витрат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47F08">
        <w:rPr>
          <w:rFonts w:ascii="Times New Roman" w:hAnsi="Times New Roman"/>
          <w:sz w:val="28"/>
          <w:szCs w:val="28"/>
        </w:rPr>
        <w:t>мірі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потреб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затверджуються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сесіях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ради.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6. ТЕРМІН РЕАЛІЗАЦІЇ ЗАХОДІВ ПРОГРАМИ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передбачена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647F0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7F08">
        <w:rPr>
          <w:rFonts w:ascii="Times New Roman" w:hAnsi="Times New Roman"/>
          <w:sz w:val="28"/>
          <w:szCs w:val="28"/>
        </w:rPr>
        <w:t>додатку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1 до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47F08">
        <w:rPr>
          <w:rFonts w:ascii="Times New Roman" w:hAnsi="Times New Roman"/>
          <w:sz w:val="28"/>
          <w:szCs w:val="28"/>
        </w:rPr>
        <w:t>.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>7. КОНТРОЛЬ ЗА ВИКОНАННЯ ПРОГРАМИ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        Контроль за </w:t>
      </w:r>
      <w:proofErr w:type="spellStart"/>
      <w:r w:rsidRPr="00647F0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сільський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голова та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постійні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комісії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питань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Pr="00647F08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F08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та</w:t>
      </w:r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земельних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відносин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природокористування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екології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планування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території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будівництва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архітектури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благоустрою,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енергозбереження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транспорту,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комунальної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власності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житлово-комунального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господарства</w:t>
      </w:r>
      <w:proofErr w:type="spellEnd"/>
      <w:r w:rsidRPr="00647F0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  <w:r w:rsidRPr="00647F08">
        <w:rPr>
          <w:rFonts w:ascii="Times New Roman" w:hAnsi="Times New Roman"/>
          <w:sz w:val="28"/>
          <w:szCs w:val="28"/>
        </w:rPr>
        <w:t> 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ради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47F08">
        <w:rPr>
          <w:rFonts w:ascii="Times New Roman" w:hAnsi="Times New Roman"/>
          <w:sz w:val="28"/>
          <w:szCs w:val="28"/>
        </w:rPr>
        <w:t xml:space="preserve">    І.М. </w:t>
      </w:r>
      <w:proofErr w:type="spellStart"/>
      <w:r w:rsidRPr="00647F08">
        <w:rPr>
          <w:rFonts w:ascii="Times New Roman" w:hAnsi="Times New Roman"/>
          <w:sz w:val="28"/>
          <w:szCs w:val="28"/>
        </w:rPr>
        <w:t>Невгод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64349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349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349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349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349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349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349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349" w:rsidRPr="003120D5" w:rsidRDefault="00964349" w:rsidP="00964349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349" w:rsidRPr="00647F08" w:rsidRDefault="00964349" w:rsidP="0096434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647F08">
        <w:rPr>
          <w:rFonts w:ascii="Times New Roman" w:hAnsi="Times New Roman"/>
        </w:rPr>
        <w:t>Додаток</w:t>
      </w:r>
      <w:proofErr w:type="spellEnd"/>
      <w:r w:rsidRPr="00647F08">
        <w:rPr>
          <w:rFonts w:ascii="Times New Roman" w:hAnsi="Times New Roman"/>
        </w:rPr>
        <w:t xml:space="preserve"> 1</w:t>
      </w:r>
    </w:p>
    <w:p w:rsidR="00964349" w:rsidRPr="00647F08" w:rsidRDefault="00964349" w:rsidP="0096434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647F08">
        <w:rPr>
          <w:rFonts w:ascii="Times New Roman" w:hAnsi="Times New Roman"/>
        </w:rPr>
        <w:t xml:space="preserve">до </w:t>
      </w:r>
      <w:proofErr w:type="spellStart"/>
      <w:r w:rsidRPr="00647F08">
        <w:rPr>
          <w:rFonts w:ascii="Times New Roman" w:hAnsi="Times New Roman"/>
        </w:rPr>
        <w:t>Програми</w:t>
      </w:r>
      <w:proofErr w:type="spellEnd"/>
      <w:r w:rsidRPr="00647F08">
        <w:rPr>
          <w:rFonts w:ascii="Times New Roman" w:hAnsi="Times New Roman"/>
        </w:rPr>
        <w:t xml:space="preserve"> </w:t>
      </w:r>
      <w:proofErr w:type="spellStart"/>
      <w:r w:rsidRPr="00647F08">
        <w:rPr>
          <w:rFonts w:ascii="Times New Roman" w:hAnsi="Times New Roman"/>
        </w:rPr>
        <w:t>боротьби</w:t>
      </w:r>
      <w:proofErr w:type="spellEnd"/>
      <w:r w:rsidRPr="00647F08">
        <w:rPr>
          <w:rFonts w:ascii="Times New Roman" w:hAnsi="Times New Roman"/>
        </w:rPr>
        <w:t xml:space="preserve"> з </w:t>
      </w:r>
      <w:proofErr w:type="spellStart"/>
      <w:r w:rsidRPr="00647F08">
        <w:rPr>
          <w:rFonts w:ascii="Times New Roman" w:hAnsi="Times New Roman"/>
        </w:rPr>
        <w:t>амброзією</w:t>
      </w:r>
      <w:proofErr w:type="spellEnd"/>
      <w:r w:rsidRPr="00647F08">
        <w:rPr>
          <w:rFonts w:ascii="Times New Roman" w:hAnsi="Times New Roman"/>
        </w:rPr>
        <w:t xml:space="preserve"> </w:t>
      </w:r>
      <w:proofErr w:type="spellStart"/>
      <w:r w:rsidRPr="00647F08">
        <w:rPr>
          <w:rFonts w:ascii="Times New Roman" w:hAnsi="Times New Roman"/>
        </w:rPr>
        <w:t>полинолистою</w:t>
      </w:r>
      <w:proofErr w:type="spellEnd"/>
      <w:r w:rsidRPr="00647F08">
        <w:rPr>
          <w:rFonts w:ascii="Times New Roman" w:hAnsi="Times New Roman"/>
        </w:rPr>
        <w:t xml:space="preserve"> </w:t>
      </w:r>
    </w:p>
    <w:p w:rsidR="00964349" w:rsidRPr="00647F08" w:rsidRDefault="00964349" w:rsidP="009643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</w:rPr>
        <w:t xml:space="preserve">на </w:t>
      </w:r>
      <w:proofErr w:type="spellStart"/>
      <w:r w:rsidRPr="00647F08">
        <w:rPr>
          <w:rFonts w:ascii="Times New Roman" w:hAnsi="Times New Roman"/>
        </w:rPr>
        <w:t>території</w:t>
      </w:r>
      <w:proofErr w:type="spellEnd"/>
      <w:r w:rsidRPr="00647F08">
        <w:rPr>
          <w:rFonts w:ascii="Times New Roman" w:hAnsi="Times New Roman"/>
        </w:rPr>
        <w:t xml:space="preserve"> </w:t>
      </w:r>
      <w:proofErr w:type="spellStart"/>
      <w:r w:rsidRPr="00647F08">
        <w:rPr>
          <w:rFonts w:ascii="Times New Roman" w:hAnsi="Times New Roman"/>
        </w:rPr>
        <w:t>Степанківської</w:t>
      </w:r>
      <w:proofErr w:type="spellEnd"/>
      <w:r w:rsidRPr="00647F08">
        <w:rPr>
          <w:rFonts w:ascii="Times New Roman" w:hAnsi="Times New Roman"/>
        </w:rPr>
        <w:t xml:space="preserve"> </w:t>
      </w:r>
      <w:proofErr w:type="spellStart"/>
      <w:r w:rsidRPr="00647F08">
        <w:rPr>
          <w:rFonts w:ascii="Times New Roman" w:hAnsi="Times New Roman"/>
        </w:rPr>
        <w:t>об’єднаної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</w:p>
    <w:p w:rsidR="00964349" w:rsidRPr="00647F08" w:rsidRDefault="00964349" w:rsidP="0096434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647F08">
        <w:rPr>
          <w:rFonts w:ascii="Times New Roman" w:hAnsi="Times New Roman"/>
        </w:rPr>
        <w:t>територіальної</w:t>
      </w:r>
      <w:proofErr w:type="spellEnd"/>
      <w:r w:rsidRPr="00647F08">
        <w:rPr>
          <w:rFonts w:ascii="Times New Roman" w:hAnsi="Times New Roman"/>
        </w:rPr>
        <w:t xml:space="preserve"> </w:t>
      </w:r>
      <w:proofErr w:type="spellStart"/>
      <w:r w:rsidRPr="00647F08">
        <w:rPr>
          <w:rFonts w:ascii="Times New Roman" w:hAnsi="Times New Roman"/>
        </w:rPr>
        <w:t>громади</w:t>
      </w:r>
      <w:proofErr w:type="spellEnd"/>
      <w:r w:rsidRPr="00647F08">
        <w:rPr>
          <w:rFonts w:ascii="Times New Roman" w:hAnsi="Times New Roman"/>
        </w:rPr>
        <w:t xml:space="preserve"> на 2019-2021 роки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08">
        <w:rPr>
          <w:rFonts w:ascii="Times New Roman" w:hAnsi="Times New Roman"/>
          <w:sz w:val="28"/>
          <w:szCs w:val="28"/>
        </w:rPr>
        <w:t xml:space="preserve">Заходи </w:t>
      </w:r>
    </w:p>
    <w:p w:rsidR="00964349" w:rsidRPr="00647F08" w:rsidRDefault="00964349" w:rsidP="00964349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7F08">
        <w:rPr>
          <w:rFonts w:ascii="Times New Roman" w:hAnsi="Times New Roman"/>
          <w:sz w:val="28"/>
          <w:szCs w:val="28"/>
        </w:rPr>
        <w:t>амброзією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полинолистою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на 2019-2021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72"/>
        <w:gridCol w:w="2365"/>
        <w:gridCol w:w="2126"/>
      </w:tblGrid>
      <w:tr w:rsidR="00964349" w:rsidRPr="00647F08" w:rsidTr="00AC68B9">
        <w:tc>
          <w:tcPr>
            <w:tcW w:w="704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4349" w:rsidRPr="002E4667" w:rsidRDefault="00964349" w:rsidP="00AC68B9">
            <w:pPr>
              <w:spacing w:before="7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6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72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365" w:type="dxa"/>
            <w:shd w:val="clear" w:color="auto" w:fill="auto"/>
            <w:vAlign w:val="center"/>
          </w:tcPr>
          <w:p w:rsidR="00964349" w:rsidRPr="002E4667" w:rsidRDefault="00964349" w:rsidP="00AC68B9">
            <w:pPr>
              <w:spacing w:before="75" w:after="0" w:line="240" w:lineRule="auto"/>
              <w:ind w:right="-78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</w:p>
          <w:p w:rsidR="00964349" w:rsidRPr="002E4667" w:rsidRDefault="00964349" w:rsidP="00AC68B9">
            <w:pPr>
              <w:spacing w:before="75" w:after="0" w:line="240" w:lineRule="auto"/>
              <w:ind w:right="-78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Джерело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964349" w:rsidRPr="00647F08" w:rsidTr="00AC68B9">
        <w:tc>
          <w:tcPr>
            <w:tcW w:w="704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Направлення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повідомлень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письмовій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підприємствам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організаціям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установам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та закладам про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необхідність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карантинних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рослин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відведених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закріплених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прилеглих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</w:p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Щороку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квітень-травень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6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</w:tr>
      <w:tr w:rsidR="00964349" w:rsidRPr="00647F08" w:rsidTr="00AC68B9">
        <w:tc>
          <w:tcPr>
            <w:tcW w:w="704" w:type="dxa"/>
            <w:shd w:val="clear" w:color="auto" w:fill="auto"/>
            <w:vAlign w:val="center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локалізації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ліквідації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карантинних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рослин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у межах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закріплених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та у приватному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секторі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Щороку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травень-жовтень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4349" w:rsidRPr="002E4667" w:rsidRDefault="00964349" w:rsidP="00AC68B9">
            <w:pPr>
              <w:spacing w:before="7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6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заборонені</w:t>
            </w:r>
            <w:proofErr w:type="spellEnd"/>
            <w:r w:rsidRPr="002E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667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964349" w:rsidRPr="00647F08" w:rsidRDefault="00964349" w:rsidP="00964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349" w:rsidRPr="00647F08" w:rsidRDefault="00964349" w:rsidP="009643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47F08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0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647F08">
        <w:rPr>
          <w:rFonts w:ascii="Times New Roman" w:hAnsi="Times New Roman"/>
          <w:sz w:val="28"/>
          <w:szCs w:val="28"/>
        </w:rPr>
        <w:t xml:space="preserve">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647F08">
        <w:rPr>
          <w:rFonts w:ascii="Times New Roman" w:hAnsi="Times New Roman"/>
          <w:sz w:val="28"/>
          <w:szCs w:val="28"/>
        </w:rPr>
        <w:t xml:space="preserve"> І.М. </w:t>
      </w:r>
      <w:proofErr w:type="spellStart"/>
      <w:r w:rsidRPr="00647F08"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F231AE" w:rsidRDefault="00F231AE">
      <w:bookmarkStart w:id="0" w:name="_GoBack"/>
      <w:bookmarkEnd w:id="0"/>
    </w:p>
    <w:sectPr w:rsidR="00F2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49"/>
    <w:rsid w:val="00964349"/>
    <w:rsid w:val="00F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CD92-DE15-4417-8282-23D126D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4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2019-07-23T12:03:00Z</dcterms:created>
  <dcterms:modified xsi:type="dcterms:W3CDTF">2019-07-23T12:06:00Z</dcterms:modified>
</cp:coreProperties>
</file>