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CE22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6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6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5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6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6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5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22DA" w:rsidRDefault="007E62E1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22DA" w:rsidRDefault="007E62E1">
            <w:r>
              <w:t xml:space="preserve"> ( 0 ) ( 2 )</w:t>
            </w:r>
          </w:p>
        </w:tc>
        <w:tc>
          <w:tcPr>
            <w:tcW w:w="6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5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22DA" w:rsidRDefault="007E62E1">
            <w:r>
              <w:t xml:space="preserve">2.Виконавчий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22DA" w:rsidRDefault="007E62E1">
            <w:r>
              <w:t xml:space="preserve"> ( 0 ) ( 2 )</w:t>
            </w:r>
          </w:p>
        </w:tc>
        <w:tc>
          <w:tcPr>
            <w:tcW w:w="6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5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22DA" w:rsidRDefault="007E62E1">
            <w:pPr>
              <w:jc w:val="both"/>
            </w:pPr>
            <w:r>
              <w:t xml:space="preserve">3.Забезпечення діяльності </w:t>
            </w:r>
            <w:proofErr w:type="spellStart"/>
            <w:r>
              <w:t>бібліотек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E22DA" w:rsidRDefault="007E62E1">
            <w:r>
              <w:t xml:space="preserve"> ( 0 ) ( 2 ) ( 1 ) ( 4 ) ( 0 ) ( 3 ) ( 0 ) </w:t>
            </w: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188 490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232 766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6 800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стимулюючих</w:t>
            </w:r>
            <w:proofErr w:type="spellEnd"/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46 079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51 209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1 500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6"/>
              </w:rPr>
              <w:t>580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реєстраційній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7E62E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7E62E1">
            <w:pPr>
              <w:ind w:right="60"/>
              <w:jc w:val="right"/>
            </w:pPr>
            <w:r>
              <w:rPr>
                <w:b/>
                <w:sz w:val="16"/>
              </w:rPr>
              <w:t>234 569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7E62E1">
            <w:pPr>
              <w:ind w:right="60"/>
              <w:jc w:val="right"/>
            </w:pPr>
            <w:r>
              <w:rPr>
                <w:b/>
                <w:sz w:val="16"/>
              </w:rPr>
              <w:t>283 975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7E62E1">
            <w:pPr>
              <w:ind w:right="60"/>
              <w:jc w:val="right"/>
            </w:pPr>
            <w:r>
              <w:rPr>
                <w:b/>
                <w:sz w:val="16"/>
              </w:rPr>
              <w:t>8 880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7E62E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доступності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задоволення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духовних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професійному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освітньому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комплектування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зберігання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бібліотечних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їх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облік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контроль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 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читача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4"/>
              </w:rPr>
              <w:t>183,51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7E62E1">
            <w:pPr>
              <w:ind w:right="60"/>
              <w:jc w:val="right"/>
            </w:pPr>
            <w:r>
              <w:rPr>
                <w:sz w:val="14"/>
              </w:rPr>
              <w:t>187,04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6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6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58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22DA" w:rsidRDefault="00CE22DA"/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CE22DA" w:rsidRDefault="00CE22D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8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E22DA" w:rsidRDefault="007E62E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22DA" w:rsidRDefault="00CE22DA">
            <w:pPr>
              <w:ind w:left="60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7E62E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22DA" w:rsidRDefault="00CE22D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2DA" w:rsidRDefault="00CE22DA">
            <w:pPr>
              <w:jc w:val="center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8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8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 w:rsidP="007E62E1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8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 w:rsidP="007E62E1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8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2DA" w:rsidRDefault="007E62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  <w:tr w:rsidR="00CE22DA">
        <w:tblPrEx>
          <w:tblCellMar>
            <w:top w:w="0" w:type="dxa"/>
            <w:bottom w:w="0" w:type="dxa"/>
          </w:tblCellMar>
        </w:tblPrEx>
        <w:trPr>
          <w:trHeight w:hRule="exact" w:val="7180"/>
        </w:trPr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7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8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39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140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E22DA" w:rsidRDefault="00CE22DA">
            <w:pPr>
              <w:pStyle w:val="EMPTYCELLSTYLE"/>
            </w:pPr>
          </w:p>
        </w:tc>
        <w:tc>
          <w:tcPr>
            <w:tcW w:w="20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20" w:type="dxa"/>
          </w:tcPr>
          <w:p w:rsidR="00CE22DA" w:rsidRDefault="00CE22DA">
            <w:pPr>
              <w:pStyle w:val="EMPTYCELLSTYLE"/>
            </w:pPr>
          </w:p>
        </w:tc>
        <w:tc>
          <w:tcPr>
            <w:tcW w:w="440" w:type="dxa"/>
          </w:tcPr>
          <w:p w:rsidR="00CE22DA" w:rsidRDefault="00CE22DA">
            <w:pPr>
              <w:pStyle w:val="EMPTYCELLSTYLE"/>
            </w:pPr>
          </w:p>
        </w:tc>
      </w:tr>
    </w:tbl>
    <w:p w:rsidR="00000000" w:rsidRDefault="007E62E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A"/>
    <w:rsid w:val="002E18B6"/>
    <w:rsid w:val="007E62E1"/>
    <w:rsid w:val="00B82EE9"/>
    <w:rsid w:val="00C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15A8"/>
  <w15:docId w15:val="{0479B0AA-D261-48F2-B74D-DA761B0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2019-10-22T12:07:00Z</dcterms:created>
  <dcterms:modified xsi:type="dcterms:W3CDTF">2019-10-22T12:08:00Z</dcterms:modified>
</cp:coreProperties>
</file>