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6356B0">
        <w:rPr>
          <w:rFonts w:ascii="Times New Roman" w:hAnsi="Times New Roman" w:cs="Times New Roman"/>
          <w:b/>
          <w:sz w:val="28"/>
          <w:szCs w:val="28"/>
          <w:lang w:val="uk-UA"/>
        </w:rPr>
        <w:t>КМБ 02140</w:t>
      </w:r>
      <w:r w:rsidR="00866323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356B0">
        <w:rPr>
          <w:rFonts w:ascii="Times New Roman" w:hAnsi="Times New Roman" w:cs="Times New Roman"/>
          <w:sz w:val="28"/>
          <w:szCs w:val="28"/>
          <w:lang w:val="uk-UA"/>
        </w:rPr>
        <w:t>Забезпечення діяльності бібліотек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6077" w:type="dxa"/>
        <w:tblLayout w:type="fixed"/>
        <w:tblLook w:val="04A0" w:firstRow="1" w:lastRow="0" w:firstColumn="1" w:lastColumn="0" w:noHBand="0" w:noVBand="1"/>
      </w:tblPr>
      <w:tblGrid>
        <w:gridCol w:w="2905"/>
        <w:gridCol w:w="527"/>
        <w:gridCol w:w="391"/>
        <w:gridCol w:w="1620"/>
        <w:gridCol w:w="1259"/>
        <w:gridCol w:w="1404"/>
        <w:gridCol w:w="2995"/>
        <w:gridCol w:w="691"/>
        <w:gridCol w:w="663"/>
        <w:gridCol w:w="1160"/>
        <w:gridCol w:w="1128"/>
        <w:gridCol w:w="1326"/>
        <w:gridCol w:w="8"/>
      </w:tblGrid>
      <w:tr w:rsidR="00DC6E19" w:rsidTr="006356B0">
        <w:trPr>
          <w:gridAfter w:val="1"/>
          <w:wAfter w:w="8" w:type="dxa"/>
          <w:tblHeader/>
        </w:trPr>
        <w:tc>
          <w:tcPr>
            <w:tcW w:w="8106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21.01.2019 № 15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63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6356B0">
        <w:trPr>
          <w:gridAfter w:val="1"/>
          <w:wAfter w:w="8" w:type="dxa"/>
          <w:tblHeader/>
        </w:trPr>
        <w:tc>
          <w:tcPr>
            <w:tcW w:w="8106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63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6356B0">
        <w:tc>
          <w:tcPr>
            <w:tcW w:w="16077" w:type="dxa"/>
            <w:gridSpan w:val="13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6356B0">
        <w:trPr>
          <w:gridAfter w:val="1"/>
          <w:wAfter w:w="8" w:type="dxa"/>
        </w:trPr>
        <w:tc>
          <w:tcPr>
            <w:tcW w:w="3432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86" w:type="dxa"/>
            <w:gridSpan w:val="2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4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6356B0">
        <w:trPr>
          <w:gridAfter w:val="1"/>
          <w:wAfter w:w="8" w:type="dxa"/>
        </w:trPr>
        <w:tc>
          <w:tcPr>
            <w:tcW w:w="3432" w:type="dxa"/>
            <w:gridSpan w:val="2"/>
          </w:tcPr>
          <w:p w:rsidR="006A7421" w:rsidRDefault="006356B0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311961</w:t>
            </w:r>
          </w:p>
        </w:tc>
        <w:tc>
          <w:tcPr>
            <w:tcW w:w="4674" w:type="dxa"/>
            <w:gridSpan w:val="4"/>
          </w:tcPr>
          <w:p w:rsidR="006A7421" w:rsidRDefault="00021379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86" w:type="dxa"/>
            <w:gridSpan w:val="2"/>
          </w:tcPr>
          <w:p w:rsidR="006A7421" w:rsidRDefault="005C2CBA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311961</w:t>
            </w:r>
          </w:p>
        </w:tc>
        <w:tc>
          <w:tcPr>
            <w:tcW w:w="4277" w:type="dxa"/>
            <w:gridSpan w:val="4"/>
          </w:tcPr>
          <w:p w:rsidR="006A7421" w:rsidRDefault="005C2CBA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A7421" w:rsidTr="006356B0">
        <w:tc>
          <w:tcPr>
            <w:tcW w:w="16077" w:type="dxa"/>
            <w:gridSpan w:val="13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6356B0" w:rsidRPr="006356B0" w:rsidTr="006356B0">
        <w:trPr>
          <w:gridAfter w:val="1"/>
          <w:wAfter w:w="8" w:type="dxa"/>
        </w:trPr>
        <w:tc>
          <w:tcPr>
            <w:tcW w:w="8106" w:type="dxa"/>
            <w:gridSpan w:val="6"/>
            <w:vAlign w:val="center"/>
          </w:tcPr>
          <w:p w:rsidR="006356B0" w:rsidRPr="006356B0" w:rsidRDefault="006356B0" w:rsidP="00635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56B0">
              <w:rPr>
                <w:rFonts w:ascii="Times New Roman" w:hAnsi="Times New Roman" w:cs="Times New Roman"/>
                <w:sz w:val="24"/>
              </w:rPr>
              <w:t>Конституція</w:t>
            </w:r>
            <w:proofErr w:type="spellEnd"/>
            <w:r w:rsidRPr="006356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6356B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4"/>
              </w:rPr>
              <w:t>Бюджетний</w:t>
            </w:r>
            <w:proofErr w:type="spellEnd"/>
            <w:r w:rsidRPr="006356B0">
              <w:rPr>
                <w:rFonts w:ascii="Times New Roman" w:hAnsi="Times New Roman" w:cs="Times New Roman"/>
                <w:sz w:val="24"/>
              </w:rPr>
              <w:t xml:space="preserve"> кодекс </w:t>
            </w:r>
            <w:proofErr w:type="spellStart"/>
            <w:r w:rsidRPr="006356B0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6356B0">
              <w:rPr>
                <w:rFonts w:ascii="Times New Roman" w:hAnsi="Times New Roman" w:cs="Times New Roman"/>
                <w:sz w:val="24"/>
              </w:rPr>
              <w:t xml:space="preserve">, Закон </w:t>
            </w:r>
            <w:proofErr w:type="spellStart"/>
            <w:r w:rsidRPr="006356B0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6356B0">
              <w:rPr>
                <w:rFonts w:ascii="Times New Roman" w:hAnsi="Times New Roman" w:cs="Times New Roman"/>
                <w:sz w:val="24"/>
              </w:rPr>
              <w:t xml:space="preserve"> "Про </w:t>
            </w:r>
            <w:proofErr w:type="spellStart"/>
            <w:r w:rsidRPr="006356B0">
              <w:rPr>
                <w:rFonts w:ascii="Times New Roman" w:hAnsi="Times New Roman" w:cs="Times New Roman"/>
                <w:sz w:val="24"/>
              </w:rPr>
              <w:t>місцеве</w:t>
            </w:r>
            <w:proofErr w:type="spellEnd"/>
            <w:r w:rsidRPr="006356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4"/>
              </w:rPr>
              <w:t>самоврядування</w:t>
            </w:r>
            <w:proofErr w:type="spellEnd"/>
            <w:r w:rsidRPr="006356B0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6356B0">
              <w:rPr>
                <w:rFonts w:ascii="Times New Roman" w:hAnsi="Times New Roman" w:cs="Times New Roman"/>
                <w:sz w:val="24"/>
              </w:rPr>
              <w:t>Україні</w:t>
            </w:r>
            <w:proofErr w:type="spellEnd"/>
            <w:r w:rsidRPr="006356B0">
              <w:rPr>
                <w:rFonts w:ascii="Times New Roman" w:hAnsi="Times New Roman" w:cs="Times New Roman"/>
                <w:sz w:val="24"/>
              </w:rPr>
              <w:t xml:space="preserve">", Закон </w:t>
            </w:r>
            <w:proofErr w:type="spellStart"/>
            <w:r w:rsidRPr="006356B0">
              <w:rPr>
                <w:rFonts w:ascii="Times New Roman" w:hAnsi="Times New Roman" w:cs="Times New Roman"/>
                <w:sz w:val="24"/>
              </w:rPr>
              <w:t>України</w:t>
            </w:r>
            <w:proofErr w:type="spellEnd"/>
            <w:r w:rsidRPr="006356B0">
              <w:rPr>
                <w:rFonts w:ascii="Times New Roman" w:hAnsi="Times New Roman" w:cs="Times New Roman"/>
                <w:sz w:val="24"/>
              </w:rPr>
              <w:t xml:space="preserve"> "Про </w:t>
            </w:r>
            <w:proofErr w:type="spellStart"/>
            <w:r w:rsidRPr="006356B0">
              <w:rPr>
                <w:rFonts w:ascii="Times New Roman" w:hAnsi="Times New Roman" w:cs="Times New Roman"/>
                <w:sz w:val="24"/>
              </w:rPr>
              <w:t>бібліотеки</w:t>
            </w:r>
            <w:proofErr w:type="spellEnd"/>
            <w:r w:rsidRPr="006356B0">
              <w:rPr>
                <w:rFonts w:ascii="Times New Roman" w:hAnsi="Times New Roman" w:cs="Times New Roman"/>
                <w:sz w:val="24"/>
              </w:rPr>
              <w:t xml:space="preserve"> і </w:t>
            </w:r>
            <w:proofErr w:type="spellStart"/>
            <w:r w:rsidRPr="006356B0">
              <w:rPr>
                <w:rFonts w:ascii="Times New Roman" w:hAnsi="Times New Roman" w:cs="Times New Roman"/>
                <w:sz w:val="24"/>
              </w:rPr>
              <w:t>бібліотечну</w:t>
            </w:r>
            <w:proofErr w:type="spellEnd"/>
            <w:r w:rsidRPr="006356B0">
              <w:rPr>
                <w:rFonts w:ascii="Times New Roman" w:hAnsi="Times New Roman" w:cs="Times New Roman"/>
                <w:sz w:val="24"/>
              </w:rPr>
              <w:t xml:space="preserve"> справу", </w:t>
            </w:r>
            <w:proofErr w:type="spellStart"/>
            <w:r w:rsidRPr="006356B0">
              <w:rPr>
                <w:rFonts w:ascii="Times New Roman" w:hAnsi="Times New Roman" w:cs="Times New Roman"/>
                <w:sz w:val="24"/>
              </w:rPr>
              <w:t>рішення</w:t>
            </w:r>
            <w:proofErr w:type="spellEnd"/>
            <w:r w:rsidRPr="006356B0">
              <w:rPr>
                <w:rFonts w:ascii="Times New Roman" w:hAnsi="Times New Roman" w:cs="Times New Roman"/>
                <w:sz w:val="24"/>
              </w:rPr>
              <w:t xml:space="preserve"> Степанківської </w:t>
            </w:r>
            <w:proofErr w:type="spellStart"/>
            <w:r w:rsidRPr="006356B0">
              <w:rPr>
                <w:rFonts w:ascii="Times New Roman" w:hAnsi="Times New Roman" w:cs="Times New Roman"/>
                <w:sz w:val="24"/>
              </w:rPr>
              <w:t>сільської</w:t>
            </w:r>
            <w:proofErr w:type="spellEnd"/>
            <w:r w:rsidRPr="006356B0">
              <w:rPr>
                <w:rFonts w:ascii="Times New Roman" w:hAnsi="Times New Roman" w:cs="Times New Roman"/>
                <w:sz w:val="24"/>
              </w:rPr>
              <w:t xml:space="preserve"> ради "Про бюджет Степанківської </w:t>
            </w:r>
            <w:proofErr w:type="spellStart"/>
            <w:r w:rsidRPr="006356B0">
              <w:rPr>
                <w:rFonts w:ascii="Times New Roman" w:hAnsi="Times New Roman" w:cs="Times New Roman"/>
                <w:sz w:val="24"/>
              </w:rPr>
              <w:t>об'єднаної</w:t>
            </w:r>
            <w:proofErr w:type="spellEnd"/>
            <w:r w:rsidRPr="006356B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4"/>
              </w:rPr>
              <w:t>територіальної</w:t>
            </w:r>
            <w:proofErr w:type="spellEnd"/>
            <w:r w:rsidRPr="006356B0">
              <w:rPr>
                <w:rFonts w:ascii="Times New Roman" w:hAnsi="Times New Roman" w:cs="Times New Roman"/>
                <w:sz w:val="24"/>
              </w:rPr>
              <w:t xml:space="preserve"> громади на 2019 </w:t>
            </w:r>
            <w:proofErr w:type="spellStart"/>
            <w:r w:rsidRPr="006356B0">
              <w:rPr>
                <w:rFonts w:ascii="Times New Roman" w:hAnsi="Times New Roman" w:cs="Times New Roman"/>
                <w:sz w:val="24"/>
              </w:rPr>
              <w:t>рік</w:t>
            </w:r>
            <w:proofErr w:type="spellEnd"/>
            <w:r w:rsidRPr="006356B0">
              <w:rPr>
                <w:rFonts w:ascii="Times New Roman" w:hAnsi="Times New Roman" w:cs="Times New Roman"/>
                <w:sz w:val="24"/>
              </w:rPr>
              <w:t xml:space="preserve">" </w:t>
            </w:r>
            <w:proofErr w:type="spellStart"/>
            <w:r w:rsidRPr="006356B0">
              <w:rPr>
                <w:rFonts w:ascii="Times New Roman" w:hAnsi="Times New Roman" w:cs="Times New Roman"/>
                <w:sz w:val="24"/>
              </w:rPr>
              <w:t>від</w:t>
            </w:r>
            <w:proofErr w:type="spellEnd"/>
            <w:r w:rsidRPr="006356B0">
              <w:rPr>
                <w:rFonts w:ascii="Times New Roman" w:hAnsi="Times New Roman" w:cs="Times New Roman"/>
                <w:sz w:val="24"/>
              </w:rPr>
              <w:t xml:space="preserve"> 22.12.2018 №24-46/VІІ</w:t>
            </w:r>
          </w:p>
        </w:tc>
        <w:tc>
          <w:tcPr>
            <w:tcW w:w="7963" w:type="dxa"/>
            <w:gridSpan w:val="6"/>
            <w:vAlign w:val="center"/>
          </w:tcPr>
          <w:p w:rsidR="006356B0" w:rsidRPr="005C2CBA" w:rsidRDefault="005C2CBA" w:rsidP="006356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Конституція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Бюджетний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кодекс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, Закон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місцеве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", Закон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"Про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бібліотеки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бібліотечну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справу",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Степанківської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22.12.2018 №24-46/VІІ "Про бюджет Степанківської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об'єднаної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громади на 2019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змінами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5C2CBA">
              <w:rPr>
                <w:rFonts w:ascii="Times New Roman" w:hAnsi="Times New Roman" w:cs="Times New Roman"/>
                <w:sz w:val="24"/>
                <w:szCs w:val="24"/>
              </w:rPr>
              <w:t xml:space="preserve"> 08.02.2019 року № 26-7/VІІ, 15.02.2019 року 3 27-1/VІІ, 08.04.2019 року № 29-29/VІІ</w:t>
            </w:r>
          </w:p>
        </w:tc>
      </w:tr>
      <w:tr w:rsidR="006356B0" w:rsidTr="006356B0">
        <w:tc>
          <w:tcPr>
            <w:tcW w:w="16077" w:type="dxa"/>
            <w:gridSpan w:val="13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6356B0" w:rsidTr="006356B0">
        <w:trPr>
          <w:gridAfter w:val="1"/>
          <w:wAfter w:w="8" w:type="dxa"/>
        </w:trPr>
        <w:tc>
          <w:tcPr>
            <w:tcW w:w="8106" w:type="dxa"/>
            <w:gridSpan w:val="6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63" w:type="dxa"/>
            <w:gridSpan w:val="6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356B0" w:rsidTr="006356B0">
        <w:tc>
          <w:tcPr>
            <w:tcW w:w="16077" w:type="dxa"/>
            <w:gridSpan w:val="13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6356B0" w:rsidRPr="00021379" w:rsidTr="006356B0">
        <w:trPr>
          <w:gridAfter w:val="1"/>
          <w:wAfter w:w="8" w:type="dxa"/>
        </w:trPr>
        <w:tc>
          <w:tcPr>
            <w:tcW w:w="8106" w:type="dxa"/>
            <w:gridSpan w:val="6"/>
          </w:tcPr>
          <w:p w:rsidR="006356B0" w:rsidRP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прав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бібліотечне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загальну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доступність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культурних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збираються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зберігаються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тимчасове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бібліотеками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963" w:type="dxa"/>
            <w:gridSpan w:val="6"/>
          </w:tcPr>
          <w:p w:rsidR="006356B0" w:rsidRPr="00021379" w:rsidRDefault="005C2CBA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Забезпечення прав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бібліотечне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загальну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доступність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культурних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цінностей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збираються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зберігаються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надаються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тимчасове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бібліотеками</w:t>
            </w:r>
            <w:proofErr w:type="spellEnd"/>
            <w:r w:rsidRPr="006356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56B0" w:rsidTr="006356B0">
        <w:tc>
          <w:tcPr>
            <w:tcW w:w="16077" w:type="dxa"/>
            <w:gridSpan w:val="13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6356B0" w:rsidRPr="00021379" w:rsidTr="006356B0">
        <w:trPr>
          <w:gridAfter w:val="1"/>
          <w:wAfter w:w="8" w:type="dxa"/>
        </w:trPr>
        <w:tc>
          <w:tcPr>
            <w:tcW w:w="8106" w:type="dxa"/>
            <w:gridSpan w:val="6"/>
          </w:tcPr>
          <w:p w:rsidR="006356B0" w:rsidRPr="006356B0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доступності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духовних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комплектування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бібліотечних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фондів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їх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облік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контроль за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7963" w:type="dxa"/>
            <w:gridSpan w:val="6"/>
          </w:tcPr>
          <w:p w:rsidR="006356B0" w:rsidRPr="00021379" w:rsidRDefault="005C2CBA" w:rsidP="006356B0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доступності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духовних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комплектування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бібліотечних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фондів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їх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облік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контроль за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6356B0" w:rsidTr="006356B0">
        <w:tc>
          <w:tcPr>
            <w:tcW w:w="16077" w:type="dxa"/>
            <w:gridSpan w:val="13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9. Напрями використання бюджетних коштів</w:t>
            </w:r>
          </w:p>
        </w:tc>
      </w:tr>
      <w:tr w:rsidR="006356B0" w:rsidRPr="00021379" w:rsidTr="006356B0">
        <w:trPr>
          <w:gridAfter w:val="1"/>
          <w:wAfter w:w="8" w:type="dxa"/>
        </w:trPr>
        <w:tc>
          <w:tcPr>
            <w:tcW w:w="8106" w:type="dxa"/>
            <w:gridSpan w:val="6"/>
          </w:tcPr>
          <w:p w:rsidR="006356B0" w:rsidRPr="00021379" w:rsidRDefault="005C2CBA" w:rsidP="006356B0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доступності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духовних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комплектування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бібліотечних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фондів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їх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облік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контроль за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 </w:t>
            </w:r>
          </w:p>
        </w:tc>
        <w:tc>
          <w:tcPr>
            <w:tcW w:w="7963" w:type="dxa"/>
            <w:gridSpan w:val="6"/>
          </w:tcPr>
          <w:p w:rsidR="006356B0" w:rsidRPr="005C2CBA" w:rsidRDefault="005C2CBA" w:rsidP="00635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Забезпечення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доступності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документів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умов для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повного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задоволення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духовних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потреб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сприяння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професійному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освітньому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розвитку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комплектування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бібліотечних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фондів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їх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облік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, контроль за </w:t>
            </w:r>
            <w:proofErr w:type="spellStart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6356B0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 </w:t>
            </w:r>
          </w:p>
        </w:tc>
      </w:tr>
      <w:tr w:rsidR="006356B0" w:rsidTr="006356B0">
        <w:trPr>
          <w:gridAfter w:val="1"/>
          <w:wAfter w:w="8" w:type="dxa"/>
        </w:trPr>
        <w:tc>
          <w:tcPr>
            <w:tcW w:w="3432" w:type="dxa"/>
            <w:gridSpan w:val="2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86" w:type="dxa"/>
            <w:gridSpan w:val="2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4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356B0" w:rsidTr="006356B0">
        <w:trPr>
          <w:gridAfter w:val="1"/>
          <w:wAfter w:w="8" w:type="dxa"/>
        </w:trPr>
        <w:tc>
          <w:tcPr>
            <w:tcW w:w="3432" w:type="dxa"/>
            <w:gridSpan w:val="2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311961</w:t>
            </w:r>
          </w:p>
        </w:tc>
        <w:tc>
          <w:tcPr>
            <w:tcW w:w="4674" w:type="dxa"/>
            <w:gridSpan w:val="4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686" w:type="dxa"/>
            <w:gridSpan w:val="2"/>
          </w:tcPr>
          <w:p w:rsidR="006356B0" w:rsidRDefault="005C2CBA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311961</w:t>
            </w:r>
          </w:p>
        </w:tc>
        <w:tc>
          <w:tcPr>
            <w:tcW w:w="4277" w:type="dxa"/>
            <w:gridSpan w:val="4"/>
          </w:tcPr>
          <w:p w:rsidR="006356B0" w:rsidRDefault="005C2CBA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6356B0" w:rsidTr="006356B0">
        <w:tc>
          <w:tcPr>
            <w:tcW w:w="16077" w:type="dxa"/>
            <w:gridSpan w:val="13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6356B0" w:rsidTr="006356B0">
        <w:trPr>
          <w:gridAfter w:val="1"/>
          <w:wAfter w:w="8" w:type="dxa"/>
        </w:trPr>
        <w:tc>
          <w:tcPr>
            <w:tcW w:w="3432" w:type="dxa"/>
            <w:gridSpan w:val="2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674" w:type="dxa"/>
            <w:gridSpan w:val="4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686" w:type="dxa"/>
            <w:gridSpan w:val="2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277" w:type="dxa"/>
            <w:gridSpan w:val="4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356B0" w:rsidTr="006356B0">
        <w:trPr>
          <w:gridAfter w:val="1"/>
          <w:wAfter w:w="8" w:type="dxa"/>
        </w:trPr>
        <w:tc>
          <w:tcPr>
            <w:tcW w:w="3432" w:type="dxa"/>
            <w:gridSpan w:val="2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4" w:type="dxa"/>
            <w:gridSpan w:val="4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686" w:type="dxa"/>
            <w:gridSpan w:val="2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77" w:type="dxa"/>
            <w:gridSpan w:val="4"/>
          </w:tcPr>
          <w:p w:rsidR="006356B0" w:rsidRDefault="006356B0" w:rsidP="006356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6356B0" w:rsidTr="006356B0">
        <w:tc>
          <w:tcPr>
            <w:tcW w:w="16077" w:type="dxa"/>
            <w:gridSpan w:val="13"/>
          </w:tcPr>
          <w:p w:rsidR="006356B0" w:rsidRPr="0051652E" w:rsidRDefault="006356B0" w:rsidP="0063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6356B0" w:rsidRPr="00021379" w:rsidTr="006356B0">
        <w:trPr>
          <w:gridAfter w:val="1"/>
          <w:wAfter w:w="8" w:type="dxa"/>
        </w:trPr>
        <w:tc>
          <w:tcPr>
            <w:tcW w:w="2905" w:type="dxa"/>
            <w:vAlign w:val="center"/>
          </w:tcPr>
          <w:p w:rsidR="006356B0" w:rsidRPr="00021379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18" w:type="dxa"/>
            <w:gridSpan w:val="2"/>
            <w:vAlign w:val="center"/>
          </w:tcPr>
          <w:p w:rsidR="006356B0" w:rsidRPr="00021379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620" w:type="dxa"/>
            <w:vAlign w:val="center"/>
          </w:tcPr>
          <w:p w:rsidR="006356B0" w:rsidRPr="00021379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259" w:type="dxa"/>
            <w:vAlign w:val="center"/>
          </w:tcPr>
          <w:p w:rsidR="006356B0" w:rsidRPr="00021379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404" w:type="dxa"/>
            <w:vAlign w:val="center"/>
          </w:tcPr>
          <w:p w:rsidR="006356B0" w:rsidRPr="00021379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2995" w:type="dxa"/>
            <w:vAlign w:val="center"/>
          </w:tcPr>
          <w:p w:rsidR="006356B0" w:rsidRPr="00021379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1354" w:type="dxa"/>
            <w:gridSpan w:val="2"/>
            <w:vAlign w:val="center"/>
          </w:tcPr>
          <w:p w:rsidR="006356B0" w:rsidRPr="00021379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160" w:type="dxa"/>
            <w:vAlign w:val="center"/>
          </w:tcPr>
          <w:p w:rsidR="006356B0" w:rsidRPr="00021379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128" w:type="dxa"/>
            <w:vAlign w:val="center"/>
          </w:tcPr>
          <w:p w:rsidR="006356B0" w:rsidRPr="00021379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326" w:type="dxa"/>
            <w:vAlign w:val="center"/>
          </w:tcPr>
          <w:p w:rsidR="006356B0" w:rsidRPr="00021379" w:rsidRDefault="006356B0" w:rsidP="006356B0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021379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7D113C" w:rsidRPr="00021379" w:rsidTr="006356B0">
        <w:trPr>
          <w:gridAfter w:val="1"/>
          <w:wAfter w:w="8" w:type="dxa"/>
        </w:trPr>
        <w:tc>
          <w:tcPr>
            <w:tcW w:w="290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18" w:type="dxa"/>
            <w:gridSpan w:val="2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1354" w:type="dxa"/>
            <w:gridSpan w:val="2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13C" w:rsidRPr="00021379" w:rsidTr="00E650AD">
        <w:trPr>
          <w:gridAfter w:val="1"/>
          <w:wAfter w:w="8" w:type="dxa"/>
        </w:trPr>
        <w:tc>
          <w:tcPr>
            <w:tcW w:w="290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бібліотек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18" w:type="dxa"/>
            <w:gridSpan w:val="2"/>
          </w:tcPr>
          <w:p w:rsidR="007D113C" w:rsidRPr="008969E7" w:rsidRDefault="007D113C" w:rsidP="007D113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259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404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установ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бібліотек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54" w:type="dxa"/>
            <w:gridSpan w:val="2"/>
          </w:tcPr>
          <w:p w:rsidR="007D113C" w:rsidRPr="008969E7" w:rsidRDefault="007D113C" w:rsidP="007D113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звіт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мережі</w:t>
            </w:r>
            <w:proofErr w:type="spellEnd"/>
          </w:p>
        </w:tc>
        <w:tc>
          <w:tcPr>
            <w:tcW w:w="1128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2,00</w:t>
            </w:r>
          </w:p>
        </w:tc>
        <w:tc>
          <w:tcPr>
            <w:tcW w:w="1326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113C" w:rsidRPr="00021379" w:rsidTr="00E650AD">
        <w:trPr>
          <w:gridAfter w:val="1"/>
          <w:wAfter w:w="8" w:type="dxa"/>
        </w:trPr>
        <w:tc>
          <w:tcPr>
            <w:tcW w:w="290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-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918" w:type="dxa"/>
            <w:gridSpan w:val="2"/>
          </w:tcPr>
          <w:p w:rsidR="007D113C" w:rsidRPr="008969E7" w:rsidRDefault="007D113C" w:rsidP="007D113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59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404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-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усього</w:t>
            </w:r>
            <w:proofErr w:type="spellEnd"/>
          </w:p>
        </w:tc>
        <w:tc>
          <w:tcPr>
            <w:tcW w:w="1354" w:type="dxa"/>
            <w:gridSpan w:val="2"/>
          </w:tcPr>
          <w:p w:rsidR="007D113C" w:rsidRPr="008969E7" w:rsidRDefault="007D113C" w:rsidP="007D113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128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1326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113C" w:rsidRPr="00021379" w:rsidTr="00E650AD">
        <w:trPr>
          <w:gridAfter w:val="1"/>
          <w:wAfter w:w="8" w:type="dxa"/>
        </w:trPr>
        <w:tc>
          <w:tcPr>
            <w:tcW w:w="290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керівних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918" w:type="dxa"/>
            <w:gridSpan w:val="2"/>
          </w:tcPr>
          <w:p w:rsidR="007D113C" w:rsidRPr="008969E7" w:rsidRDefault="007D113C" w:rsidP="007D113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59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404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керівних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працівників</w:t>
            </w:r>
            <w:proofErr w:type="spellEnd"/>
          </w:p>
        </w:tc>
        <w:tc>
          <w:tcPr>
            <w:tcW w:w="1354" w:type="dxa"/>
            <w:gridSpan w:val="2"/>
          </w:tcPr>
          <w:p w:rsidR="007D113C" w:rsidRPr="008969E7" w:rsidRDefault="007D113C" w:rsidP="007D113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128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326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113C" w:rsidRPr="00021379" w:rsidTr="00E650AD">
        <w:trPr>
          <w:gridAfter w:val="1"/>
          <w:wAfter w:w="8" w:type="dxa"/>
        </w:trPr>
        <w:tc>
          <w:tcPr>
            <w:tcW w:w="290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обслуговуючого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918" w:type="dxa"/>
            <w:gridSpan w:val="2"/>
          </w:tcPr>
          <w:p w:rsidR="007D113C" w:rsidRPr="008969E7" w:rsidRDefault="007D113C" w:rsidP="007D113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59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404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обслуговуючого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технічного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персоналу</w:t>
            </w:r>
          </w:p>
        </w:tc>
        <w:tc>
          <w:tcPr>
            <w:tcW w:w="1354" w:type="dxa"/>
            <w:gridSpan w:val="2"/>
          </w:tcPr>
          <w:p w:rsidR="007D113C" w:rsidRPr="008969E7" w:rsidRDefault="007D113C" w:rsidP="007D113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128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  <w:tc>
          <w:tcPr>
            <w:tcW w:w="1326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113C" w:rsidRPr="00021379" w:rsidTr="00E650AD">
        <w:trPr>
          <w:gridAfter w:val="1"/>
          <w:wAfter w:w="8" w:type="dxa"/>
        </w:trPr>
        <w:tc>
          <w:tcPr>
            <w:tcW w:w="290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918" w:type="dxa"/>
            <w:gridSpan w:val="2"/>
          </w:tcPr>
          <w:p w:rsidR="007D113C" w:rsidRPr="008969E7" w:rsidRDefault="007D113C" w:rsidP="007D113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259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1404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середнє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окладів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(ставок)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спеціалістів</w:t>
            </w:r>
            <w:proofErr w:type="spellEnd"/>
          </w:p>
        </w:tc>
        <w:tc>
          <w:tcPr>
            <w:tcW w:w="1354" w:type="dxa"/>
            <w:gridSpan w:val="2"/>
          </w:tcPr>
          <w:p w:rsidR="007D113C" w:rsidRPr="008969E7" w:rsidRDefault="007D113C" w:rsidP="007D113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штатний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розпис</w:t>
            </w:r>
            <w:proofErr w:type="spellEnd"/>
          </w:p>
        </w:tc>
        <w:tc>
          <w:tcPr>
            <w:tcW w:w="1128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1326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113C" w:rsidRPr="00021379" w:rsidTr="00E650AD">
        <w:trPr>
          <w:gridAfter w:val="1"/>
          <w:wAfter w:w="8" w:type="dxa"/>
        </w:trPr>
        <w:tc>
          <w:tcPr>
            <w:tcW w:w="290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18" w:type="dxa"/>
            <w:gridSpan w:val="2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1354" w:type="dxa"/>
            <w:gridSpan w:val="2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13C" w:rsidRPr="00021379" w:rsidTr="00E650AD">
        <w:trPr>
          <w:gridAfter w:val="1"/>
          <w:wAfter w:w="8" w:type="dxa"/>
        </w:trPr>
        <w:tc>
          <w:tcPr>
            <w:tcW w:w="290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книговидач</w:t>
            </w:r>
            <w:proofErr w:type="spellEnd"/>
          </w:p>
        </w:tc>
        <w:tc>
          <w:tcPr>
            <w:tcW w:w="918" w:type="dxa"/>
            <w:gridSpan w:val="2"/>
          </w:tcPr>
          <w:p w:rsidR="007D113C" w:rsidRPr="008969E7" w:rsidRDefault="007D113C" w:rsidP="007D113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№6-нк</w:t>
            </w:r>
          </w:p>
        </w:tc>
        <w:tc>
          <w:tcPr>
            <w:tcW w:w="1259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32000,00</w:t>
            </w:r>
          </w:p>
        </w:tc>
        <w:tc>
          <w:tcPr>
            <w:tcW w:w="1404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книговидач</w:t>
            </w:r>
            <w:proofErr w:type="spellEnd"/>
          </w:p>
        </w:tc>
        <w:tc>
          <w:tcPr>
            <w:tcW w:w="1354" w:type="dxa"/>
            <w:gridSpan w:val="2"/>
          </w:tcPr>
          <w:p w:rsidR="007D113C" w:rsidRPr="008969E7" w:rsidRDefault="007D113C" w:rsidP="007D113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№6-нк</w:t>
            </w:r>
          </w:p>
        </w:tc>
        <w:tc>
          <w:tcPr>
            <w:tcW w:w="1128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32000,00</w:t>
            </w:r>
          </w:p>
        </w:tc>
        <w:tc>
          <w:tcPr>
            <w:tcW w:w="1326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113C" w:rsidRPr="00021379" w:rsidTr="00E650AD">
        <w:trPr>
          <w:gridAfter w:val="1"/>
          <w:wAfter w:w="8" w:type="dxa"/>
        </w:trPr>
        <w:tc>
          <w:tcPr>
            <w:tcW w:w="290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читачів</w:t>
            </w:r>
            <w:proofErr w:type="spellEnd"/>
          </w:p>
        </w:tc>
        <w:tc>
          <w:tcPr>
            <w:tcW w:w="918" w:type="dxa"/>
            <w:gridSpan w:val="2"/>
          </w:tcPr>
          <w:p w:rsidR="007D113C" w:rsidRPr="008969E7" w:rsidRDefault="007D113C" w:rsidP="007D113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тис.осіб</w:t>
            </w:r>
            <w:proofErr w:type="spellEnd"/>
          </w:p>
        </w:tc>
        <w:tc>
          <w:tcPr>
            <w:tcW w:w="1620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259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1700,00</w:t>
            </w:r>
          </w:p>
        </w:tc>
        <w:tc>
          <w:tcPr>
            <w:tcW w:w="1404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число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читачів</w:t>
            </w:r>
            <w:proofErr w:type="spellEnd"/>
          </w:p>
        </w:tc>
        <w:tc>
          <w:tcPr>
            <w:tcW w:w="1354" w:type="dxa"/>
            <w:gridSpan w:val="2"/>
          </w:tcPr>
          <w:p w:rsidR="007D113C" w:rsidRPr="008969E7" w:rsidRDefault="007D113C" w:rsidP="007D113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тис.осіб</w:t>
            </w:r>
            <w:proofErr w:type="spellEnd"/>
          </w:p>
        </w:tc>
        <w:tc>
          <w:tcPr>
            <w:tcW w:w="1160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128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969E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1326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113C" w:rsidRPr="00021379" w:rsidTr="00E650AD">
        <w:trPr>
          <w:gridAfter w:val="1"/>
          <w:wAfter w:w="8" w:type="dxa"/>
        </w:trPr>
        <w:tc>
          <w:tcPr>
            <w:tcW w:w="290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бібліотечний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918" w:type="dxa"/>
            <w:gridSpan w:val="2"/>
          </w:tcPr>
          <w:p w:rsidR="007D113C" w:rsidRPr="008969E7" w:rsidRDefault="007D113C" w:rsidP="007D113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тис.примірників</w:t>
            </w:r>
            <w:proofErr w:type="spellEnd"/>
          </w:p>
        </w:tc>
        <w:tc>
          <w:tcPr>
            <w:tcW w:w="1620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259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301,00</w:t>
            </w:r>
          </w:p>
        </w:tc>
        <w:tc>
          <w:tcPr>
            <w:tcW w:w="1404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бібліотечний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354" w:type="dxa"/>
            <w:gridSpan w:val="2"/>
          </w:tcPr>
          <w:p w:rsidR="007D113C" w:rsidRPr="008969E7" w:rsidRDefault="007D113C" w:rsidP="007D113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тис.примірників</w:t>
            </w:r>
            <w:proofErr w:type="spellEnd"/>
          </w:p>
        </w:tc>
        <w:tc>
          <w:tcPr>
            <w:tcW w:w="1160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128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301,00</w:t>
            </w:r>
          </w:p>
        </w:tc>
        <w:tc>
          <w:tcPr>
            <w:tcW w:w="1326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113C" w:rsidRPr="00021379" w:rsidTr="00E650AD">
        <w:trPr>
          <w:gridAfter w:val="1"/>
          <w:wAfter w:w="8" w:type="dxa"/>
        </w:trPr>
        <w:tc>
          <w:tcPr>
            <w:tcW w:w="290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>поповнення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бібліотечного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фонду</w:t>
            </w:r>
          </w:p>
        </w:tc>
        <w:tc>
          <w:tcPr>
            <w:tcW w:w="918" w:type="dxa"/>
            <w:gridSpan w:val="2"/>
          </w:tcPr>
          <w:p w:rsidR="007D113C" w:rsidRPr="008969E7" w:rsidRDefault="007D113C" w:rsidP="007D113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тис.примірників</w:t>
            </w:r>
            <w:proofErr w:type="spellEnd"/>
          </w:p>
        </w:tc>
        <w:tc>
          <w:tcPr>
            <w:tcW w:w="1620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259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404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поповнення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бібліотечного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фонду</w:t>
            </w:r>
          </w:p>
        </w:tc>
        <w:tc>
          <w:tcPr>
            <w:tcW w:w="1354" w:type="dxa"/>
            <w:gridSpan w:val="2"/>
          </w:tcPr>
          <w:p w:rsidR="007D113C" w:rsidRPr="008969E7" w:rsidRDefault="007D113C" w:rsidP="007D113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тис.примірників</w:t>
            </w:r>
            <w:proofErr w:type="spellEnd"/>
          </w:p>
        </w:tc>
        <w:tc>
          <w:tcPr>
            <w:tcW w:w="1160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форма № 6-нк</w:t>
            </w:r>
          </w:p>
        </w:tc>
        <w:tc>
          <w:tcPr>
            <w:tcW w:w="1128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20,00</w:t>
            </w:r>
          </w:p>
        </w:tc>
        <w:tc>
          <w:tcPr>
            <w:tcW w:w="1326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113C" w:rsidRPr="00021379" w:rsidTr="00E650AD">
        <w:trPr>
          <w:gridAfter w:val="1"/>
          <w:wAfter w:w="8" w:type="dxa"/>
        </w:trPr>
        <w:tc>
          <w:tcPr>
            <w:tcW w:w="290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18" w:type="dxa"/>
            <w:gridSpan w:val="2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1354" w:type="dxa"/>
            <w:gridSpan w:val="2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6" w:type="dxa"/>
            <w:vAlign w:val="center"/>
          </w:tcPr>
          <w:p w:rsidR="007D113C" w:rsidRPr="008969E7" w:rsidRDefault="007D113C" w:rsidP="007D1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13C" w:rsidRPr="00021379" w:rsidTr="00E650AD">
        <w:trPr>
          <w:gridAfter w:val="1"/>
          <w:wAfter w:w="8" w:type="dxa"/>
        </w:trPr>
        <w:tc>
          <w:tcPr>
            <w:tcW w:w="290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затрати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обслуговування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одного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читача</w:t>
            </w:r>
            <w:proofErr w:type="spellEnd"/>
          </w:p>
        </w:tc>
        <w:tc>
          <w:tcPr>
            <w:tcW w:w="918" w:type="dxa"/>
            <w:gridSpan w:val="2"/>
          </w:tcPr>
          <w:p w:rsidR="007D113C" w:rsidRPr="008969E7" w:rsidRDefault="007D113C" w:rsidP="007D113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620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</w:t>
            </w:r>
            <w:bookmarkStart w:id="0" w:name="_GoBack"/>
            <w:bookmarkEnd w:id="0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озрахунок</w:t>
            </w:r>
            <w:proofErr w:type="spellEnd"/>
          </w:p>
        </w:tc>
        <w:tc>
          <w:tcPr>
            <w:tcW w:w="1259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183,51</w:t>
            </w:r>
          </w:p>
        </w:tc>
        <w:tc>
          <w:tcPr>
            <w:tcW w:w="1404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затрати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обслуговування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одного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читача</w:t>
            </w:r>
            <w:proofErr w:type="spellEnd"/>
          </w:p>
        </w:tc>
        <w:tc>
          <w:tcPr>
            <w:tcW w:w="1354" w:type="dxa"/>
            <w:gridSpan w:val="2"/>
          </w:tcPr>
          <w:p w:rsidR="007D113C" w:rsidRPr="008969E7" w:rsidRDefault="007D113C" w:rsidP="007D113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160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28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183,51</w:t>
            </w:r>
          </w:p>
        </w:tc>
        <w:tc>
          <w:tcPr>
            <w:tcW w:w="1326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D113C" w:rsidRPr="00021379" w:rsidTr="00E650AD">
        <w:trPr>
          <w:gridAfter w:val="1"/>
          <w:wAfter w:w="8" w:type="dxa"/>
        </w:trPr>
        <w:tc>
          <w:tcPr>
            <w:tcW w:w="290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книговидач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працівника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(ставку)</w:t>
            </w:r>
          </w:p>
        </w:tc>
        <w:tc>
          <w:tcPr>
            <w:tcW w:w="918" w:type="dxa"/>
            <w:gridSpan w:val="2"/>
          </w:tcPr>
          <w:p w:rsidR="007D113C" w:rsidRPr="008969E7" w:rsidRDefault="007D113C" w:rsidP="007D113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620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259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10666,00</w:t>
            </w:r>
          </w:p>
        </w:tc>
        <w:tc>
          <w:tcPr>
            <w:tcW w:w="1404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95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книговидач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на одного </w:t>
            </w: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працівника</w:t>
            </w:r>
            <w:proofErr w:type="spellEnd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(ставку)</w:t>
            </w:r>
          </w:p>
        </w:tc>
        <w:tc>
          <w:tcPr>
            <w:tcW w:w="1354" w:type="dxa"/>
            <w:gridSpan w:val="2"/>
          </w:tcPr>
          <w:p w:rsidR="007D113C" w:rsidRPr="008969E7" w:rsidRDefault="007D113C" w:rsidP="007D113C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160" w:type="dxa"/>
          </w:tcPr>
          <w:p w:rsidR="007D113C" w:rsidRPr="008969E7" w:rsidRDefault="007D113C" w:rsidP="007D113C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69E7">
              <w:rPr>
                <w:rFonts w:ascii="Times New Roman" w:eastAsia="Arial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128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10666,00</w:t>
            </w:r>
          </w:p>
        </w:tc>
        <w:tc>
          <w:tcPr>
            <w:tcW w:w="1326" w:type="dxa"/>
          </w:tcPr>
          <w:p w:rsidR="007D113C" w:rsidRPr="008969E7" w:rsidRDefault="007D113C" w:rsidP="007D113C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69E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21379"/>
    <w:rsid w:val="00082EAC"/>
    <w:rsid w:val="00084D7D"/>
    <w:rsid w:val="00111DD2"/>
    <w:rsid w:val="001460AD"/>
    <w:rsid w:val="001B6C44"/>
    <w:rsid w:val="003C357B"/>
    <w:rsid w:val="003E67F6"/>
    <w:rsid w:val="003F40B4"/>
    <w:rsid w:val="0051652E"/>
    <w:rsid w:val="00586092"/>
    <w:rsid w:val="005C2CBA"/>
    <w:rsid w:val="005D2776"/>
    <w:rsid w:val="00600366"/>
    <w:rsid w:val="006041AA"/>
    <w:rsid w:val="006356B0"/>
    <w:rsid w:val="006A7421"/>
    <w:rsid w:val="007B55E2"/>
    <w:rsid w:val="007D113C"/>
    <w:rsid w:val="00866323"/>
    <w:rsid w:val="008969E7"/>
    <w:rsid w:val="008F2FF4"/>
    <w:rsid w:val="00906F3B"/>
    <w:rsid w:val="00AA03E3"/>
    <w:rsid w:val="00AC2EAD"/>
    <w:rsid w:val="00AC631D"/>
    <w:rsid w:val="00B924E6"/>
    <w:rsid w:val="00C54AD3"/>
    <w:rsid w:val="00C56B6D"/>
    <w:rsid w:val="00C91000"/>
    <w:rsid w:val="00D42549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2208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5</cp:revision>
  <cp:lastPrinted>2019-09-10T09:51:00Z</cp:lastPrinted>
  <dcterms:created xsi:type="dcterms:W3CDTF">2019-09-25T04:44:00Z</dcterms:created>
  <dcterms:modified xsi:type="dcterms:W3CDTF">2019-09-25T04:54:00Z</dcterms:modified>
</cp:coreProperties>
</file>