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D1" w:rsidRPr="00E447D1" w:rsidRDefault="00E447D1" w:rsidP="00E447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47D1">
        <w:rPr>
          <w:rFonts w:ascii="Times New Roman" w:hAnsi="Times New Roman" w:cs="Times New Roman"/>
          <w:sz w:val="28"/>
          <w:szCs w:val="28"/>
          <w:lang w:eastAsia="ru-RU"/>
        </w:rPr>
        <w:t>ПЕРЕЛІК</w:t>
      </w:r>
    </w:p>
    <w:p w:rsidR="00E447D1" w:rsidRPr="00E447D1" w:rsidRDefault="00E447D1" w:rsidP="00E447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47D1">
        <w:rPr>
          <w:rFonts w:ascii="Times New Roman" w:hAnsi="Times New Roman" w:cs="Times New Roman"/>
          <w:sz w:val="28"/>
          <w:szCs w:val="28"/>
          <w:lang w:eastAsia="ru-RU"/>
        </w:rPr>
        <w:t>негативно оцінених проектів Громадського бюджету (бюджету участі) Степанківської сільської об’єднаної територіальної громади для реалізації у 2020 році (проекти не допущені до голосування з 25 листопада по 09 грудня 2019 року)</w:t>
      </w:r>
    </w:p>
    <w:tbl>
      <w:tblPr>
        <w:tblpPr w:leftFromText="180" w:rightFromText="180" w:vertAnchor="text" w:horzAnchor="margin" w:tblpXSpec="center" w:tblpY="319"/>
        <w:tblOverlap w:val="never"/>
        <w:tblW w:w="10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844"/>
        <w:gridCol w:w="1972"/>
        <w:gridCol w:w="1550"/>
        <w:gridCol w:w="3243"/>
        <w:gridCol w:w="2114"/>
      </w:tblGrid>
      <w:tr w:rsidR="00E447D1" w:rsidRPr="00E447D1" w:rsidTr="00E447D1">
        <w:trPr>
          <w:trHeight w:hRule="exact" w:val="8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after="60" w:line="22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 з/п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after="60" w:line="220" w:lineRule="exact"/>
              <w:ind w:left="33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Номер</w:t>
            </w:r>
          </w:p>
          <w:p w:rsidR="00E447D1" w:rsidRPr="00E447D1" w:rsidRDefault="00E447D1" w:rsidP="00E447D1">
            <w:pPr>
              <w:widowControl w:val="0"/>
              <w:suppressAutoHyphens w:val="0"/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проекту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Назва</w:t>
            </w:r>
          </w:p>
          <w:p w:rsidR="00E447D1" w:rsidRPr="00E447D1" w:rsidRDefault="00E447D1" w:rsidP="00E447D1">
            <w:pPr>
              <w:widowControl w:val="0"/>
              <w:suppressAutoHyphens w:val="0"/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проекту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Автор</w:t>
            </w:r>
          </w:p>
          <w:p w:rsidR="00E447D1" w:rsidRPr="00E447D1" w:rsidRDefault="00E447D1" w:rsidP="00E447D1">
            <w:pPr>
              <w:widowControl w:val="0"/>
              <w:suppressAutoHyphens w:val="0"/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проекту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Короткий опис проекту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Підстава негативної оцінки</w:t>
            </w:r>
          </w:p>
        </w:tc>
      </w:tr>
      <w:tr w:rsidR="00E447D1" w:rsidRPr="00E447D1" w:rsidTr="009D4924">
        <w:trPr>
          <w:trHeight w:hRule="exact" w:val="70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after="60" w:line="22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9D4924" w:rsidRDefault="00E447D1" w:rsidP="009D4924">
            <w:pPr>
              <w:widowControl w:val="0"/>
              <w:suppressAutoHyphens w:val="0"/>
              <w:spacing w:after="6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Default="00E447D1" w:rsidP="009D4924">
            <w:pPr>
              <w:widowControl w:val="0"/>
              <w:suppressAutoHyphens w:val="0"/>
              <w:spacing w:after="60"/>
              <w:ind w:left="135"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Вуличне освітлення – запорука безпеки та комфорту жителів громади</w:t>
            </w:r>
          </w:p>
          <w:p w:rsidR="007C7C11" w:rsidRPr="009D4924" w:rsidRDefault="007C7C11" w:rsidP="009D4924">
            <w:pPr>
              <w:widowControl w:val="0"/>
              <w:suppressAutoHyphens w:val="0"/>
              <w:spacing w:after="60"/>
              <w:ind w:left="135"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hyperlink r:id="rId4" w:history="1">
              <w:r w:rsidRPr="007C7C1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uk-UA" w:bidi="uk-UA"/>
                </w:rPr>
                <w:t>http://stepankivska.gr.org.ua/wp-content/uploads/sites/8/2019/11/0008.pdf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9D4924" w:rsidRDefault="00E447D1" w:rsidP="009D4924">
            <w:pPr>
              <w:widowControl w:val="0"/>
              <w:suppressAutoHyphens w:val="0"/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Недуха</w:t>
            </w:r>
            <w:proofErr w:type="spellEnd"/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А.Г.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9D4924" w:rsidRDefault="00E447D1" w:rsidP="009D4924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Враховуючи відчайдушні побажання жителів громади, створити безпечні та комфортні умови громадянам сіл Степанки та Хацьки, шляхом облаштування зовнішнього освітлення частини провулку Центрального в </w:t>
            </w:r>
            <w:proofErr w:type="spellStart"/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с.Степанки</w:t>
            </w:r>
            <w:proofErr w:type="spellEnd"/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(в районі р. Рудка). Очікуванні результати:</w:t>
            </w:r>
          </w:p>
          <w:p w:rsidR="00E447D1" w:rsidRPr="009D4924" w:rsidRDefault="00E447D1" w:rsidP="009D4924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 буде встановлено дві електричні опори з двома ліхтарями; - зменшення кількості дорожньо-транспортних пригод; - належні умови для проживання сільських жителів; - поліпшення морально-психологічного клімату в громаді.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D1" w:rsidRPr="009D4924" w:rsidRDefault="00E447D1" w:rsidP="009D4924">
            <w:pPr>
              <w:widowControl w:val="0"/>
              <w:suppressAutoHyphens w:val="0"/>
              <w:ind w:left="144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</w:pPr>
            <w:r w:rsidRPr="009D49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В п.4 Бланку-заяви Проекту не зазначено виготовлення проектно-кошторисної документації будівництва системи вуличного освітлення та ін. супутніх робіт, що призведе до збільшення загальної вартості завдання.</w:t>
            </w:r>
            <w:r w:rsidR="009D49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 xml:space="preserve"> Відповідно проект не відповідатиме</w:t>
            </w:r>
            <w:r w:rsidRPr="009D49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 xml:space="preserve"> п.4.5 Положення «Про Громадський бюджет (бюджет участі) Степанківської ОТГ» та п.5.5 Положення, оскільки корективи в п.4 Бланку не внесені.</w:t>
            </w:r>
          </w:p>
        </w:tc>
      </w:tr>
      <w:tr w:rsidR="00E447D1" w:rsidRPr="00E447D1" w:rsidTr="009D4924">
        <w:trPr>
          <w:trHeight w:hRule="exact" w:val="37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after="60" w:line="22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9D4924" w:rsidRDefault="00E447D1" w:rsidP="009D4924">
            <w:pPr>
              <w:widowControl w:val="0"/>
              <w:suppressAutoHyphens w:val="0"/>
              <w:spacing w:after="6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Default="00E447D1" w:rsidP="009D4924">
            <w:pPr>
              <w:widowControl w:val="0"/>
              <w:suppressAutoHyphens w:val="0"/>
              <w:spacing w:after="60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Фестиваль «Єдина громада» 28 червня 2020 року</w:t>
            </w:r>
          </w:p>
          <w:p w:rsidR="007C7C11" w:rsidRPr="009D4924" w:rsidRDefault="007C7C11" w:rsidP="009D4924">
            <w:pPr>
              <w:widowControl w:val="0"/>
              <w:suppressAutoHyphens w:val="0"/>
              <w:spacing w:after="60"/>
              <w:ind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hyperlink r:id="rId5" w:history="1">
              <w:r w:rsidRPr="007C7C1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uk-UA" w:bidi="uk-UA"/>
                </w:rPr>
                <w:t>http://stepankivska.gr.org.ua/wp-content/uploads/sites/8/2019/11/0003.pdf</w:t>
              </w:r>
            </w:hyperlink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9D4924" w:rsidRDefault="00E447D1" w:rsidP="009D4924">
            <w:pPr>
              <w:widowControl w:val="0"/>
              <w:suppressAutoHyphens w:val="0"/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Клименко І.І.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9D4924" w:rsidRDefault="00E447D1" w:rsidP="009D4924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9D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 нашій громаді відчувається відсутність єдності у спілкуванні між жителями громади. Тому метою проекту є згуртування та активізація жителів усіх вікових категорій. Проведення фестивалю допоможе об’єднатися та обмінятися думками і ідеями.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D1" w:rsidRPr="009D4924" w:rsidRDefault="00E447D1" w:rsidP="009D4924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</w:pPr>
            <w:r w:rsidRPr="009D49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 xml:space="preserve">В п.4 Бланку-заяви Проекту не зазначені кількісні показники видатків. Відповідно до п.5.5 Положення «Про Громадський бюджет (бюджет участі) Степанківської ОТГ», корективи в п.4 не були внесені, у зв’язку із відмовою автора. </w:t>
            </w:r>
          </w:p>
        </w:tc>
      </w:tr>
    </w:tbl>
    <w:p w:rsidR="00E447D1" w:rsidRPr="00E447D1" w:rsidRDefault="00E447D1" w:rsidP="00E447D1">
      <w:pPr>
        <w:shd w:val="clear" w:color="auto" w:fill="FFFFFF"/>
        <w:spacing w:line="33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D1" w:rsidRPr="00E447D1" w:rsidRDefault="00E447D1" w:rsidP="00E447D1">
      <w:pPr>
        <w:shd w:val="clear" w:color="auto" w:fill="FFFFFF"/>
        <w:spacing w:line="33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47D1" w:rsidRPr="00E447D1" w:rsidRDefault="00E447D1" w:rsidP="00E447D1">
      <w:pPr>
        <w:shd w:val="clear" w:color="auto" w:fill="FFFFFF"/>
        <w:spacing w:line="33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D1" w:rsidRPr="009D4924" w:rsidRDefault="00E447D1" w:rsidP="009D4924">
      <w:pPr>
        <w:jc w:val="both"/>
        <w:rPr>
          <w:rFonts w:ascii="Times New Roman" w:hAnsi="Times New Roman" w:cs="Times New Roman"/>
          <w:sz w:val="28"/>
          <w:szCs w:val="28"/>
        </w:rPr>
      </w:pPr>
      <w:r w:rsidRPr="00E447D1">
        <w:rPr>
          <w:rFonts w:ascii="Times New Roman" w:hAnsi="Times New Roman" w:cs="Times New Roman"/>
          <w:sz w:val="28"/>
          <w:szCs w:val="28"/>
        </w:rPr>
        <w:t>Секретар Координац</w:t>
      </w:r>
      <w:r w:rsidR="009D4924">
        <w:rPr>
          <w:rFonts w:ascii="Times New Roman" w:hAnsi="Times New Roman" w:cs="Times New Roman"/>
          <w:sz w:val="28"/>
          <w:szCs w:val="28"/>
        </w:rPr>
        <w:t>ійної  ради          Овчаренко Т.О</w:t>
      </w:r>
    </w:p>
    <w:sectPr w:rsidR="00E447D1" w:rsidRPr="009D4924" w:rsidSect="00E447D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FC"/>
    <w:rsid w:val="0002530C"/>
    <w:rsid w:val="001517FC"/>
    <w:rsid w:val="0040224C"/>
    <w:rsid w:val="00613E56"/>
    <w:rsid w:val="007C7C11"/>
    <w:rsid w:val="009D4924"/>
    <w:rsid w:val="00E447D1"/>
    <w:rsid w:val="00F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BB1A"/>
  <w15:chartTrackingRefBased/>
  <w15:docId w15:val="{D91D4A31-CC65-422C-88AF-CFAEFF71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D1"/>
    <w:pPr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D1"/>
    <w:rPr>
      <w:rFonts w:ascii="Segoe UI" w:eastAsia="Times New Roman" w:hAnsi="Segoe UI" w:cs="Segoe UI"/>
      <w:sz w:val="18"/>
      <w:szCs w:val="18"/>
      <w:lang w:val="uk-UA" w:eastAsia="zh-CN"/>
    </w:rPr>
  </w:style>
  <w:style w:type="character" w:styleId="a5">
    <w:name w:val="Hyperlink"/>
    <w:basedOn w:val="a0"/>
    <w:uiPriority w:val="99"/>
    <w:unhideWhenUsed/>
    <w:rsid w:val="007C7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pankivska.gr.org.ua/wp-content/uploads/sites/8/2019/11/0003.pdf" TargetMode="External"/><Relationship Id="rId4" Type="http://schemas.openxmlformats.org/officeDocument/2006/relationships/hyperlink" Target="http://stepankivska.gr.org.ua/wp-content/uploads/sites/8/2019/11/0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</cp:lastModifiedBy>
  <cp:revision>3</cp:revision>
  <cp:lastPrinted>2019-11-25T05:28:00Z</cp:lastPrinted>
  <dcterms:created xsi:type="dcterms:W3CDTF">2019-11-27T14:57:00Z</dcterms:created>
  <dcterms:modified xsi:type="dcterms:W3CDTF">2019-11-28T10:50:00Z</dcterms:modified>
</cp:coreProperties>
</file>