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583EAD">
        <w:rPr>
          <w:rFonts w:ascii="Times New Roman" w:hAnsi="Times New Roman" w:cs="Times New Roman"/>
          <w:b/>
          <w:sz w:val="28"/>
          <w:szCs w:val="28"/>
          <w:lang w:val="uk-UA"/>
        </w:rPr>
        <w:t>8312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83EAD">
        <w:rPr>
          <w:rFonts w:ascii="Times New Roman" w:hAnsi="Times New Roman" w:cs="Times New Roman"/>
          <w:sz w:val="28"/>
          <w:szCs w:val="28"/>
          <w:lang w:val="uk-UA"/>
        </w:rPr>
        <w:t>Утилізація відходів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54"/>
        <w:gridCol w:w="890"/>
        <w:gridCol w:w="602"/>
        <w:gridCol w:w="1291"/>
        <w:gridCol w:w="1495"/>
        <w:gridCol w:w="1702"/>
        <w:gridCol w:w="1810"/>
        <w:gridCol w:w="956"/>
        <w:gridCol w:w="685"/>
        <w:gridCol w:w="1423"/>
        <w:gridCol w:w="1398"/>
        <w:gridCol w:w="1665"/>
      </w:tblGrid>
      <w:tr w:rsidR="00DC6E19" w:rsidTr="001460AD">
        <w:trPr>
          <w:tblHeader/>
        </w:trPr>
        <w:tc>
          <w:tcPr>
            <w:tcW w:w="793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724D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16.10.2019 №143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3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460AD">
        <w:trPr>
          <w:tblHeader/>
        </w:trPr>
        <w:tc>
          <w:tcPr>
            <w:tcW w:w="793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3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005A41">
        <w:tc>
          <w:tcPr>
            <w:tcW w:w="344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AD0A07" w:rsidTr="00005A41">
        <w:tc>
          <w:tcPr>
            <w:tcW w:w="3446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88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586560</w:t>
            </w:r>
          </w:p>
        </w:tc>
        <w:tc>
          <w:tcPr>
            <w:tcW w:w="3451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86" w:type="dxa"/>
            <w:gridSpan w:val="3"/>
          </w:tcPr>
          <w:p w:rsidR="00AD0A07" w:rsidRPr="00724DBC" w:rsidRDefault="00724DBC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Pr="00724DBC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AD0A07" w:rsidTr="0051652E">
        <w:tc>
          <w:tcPr>
            <w:tcW w:w="15871" w:type="dxa"/>
            <w:gridSpan w:val="12"/>
          </w:tcPr>
          <w:p w:rsidR="00AD0A07" w:rsidRPr="0051652E" w:rsidRDefault="00AD0A07" w:rsidP="00AD0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AD0A07" w:rsidTr="002C1DCE">
        <w:tc>
          <w:tcPr>
            <w:tcW w:w="7934" w:type="dxa"/>
            <w:gridSpan w:val="6"/>
            <w:vAlign w:val="center"/>
          </w:tcPr>
          <w:p w:rsidR="00AD0A07" w:rsidRPr="006E1064" w:rsidRDefault="00724DBC" w:rsidP="00AD0A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0A07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", Закон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бюджет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на 2019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рік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", Закон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охорону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навколишнього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середовища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", Постанова КМУ "Про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видів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діяльності,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що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належать до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природоохоронних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Степанківської сільської ради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від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22.12.2018 № 24-13/VІІ "Про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AD0A07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навколишнього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пртродного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середовища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" на 2019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рік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зі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від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08.04.2019 року № 29-30/VІІ,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Степанківської сільської ради "Про бюджет Степанківської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AD0A07">
              <w:rPr>
                <w:rFonts w:ascii="Times New Roman" w:hAnsi="Times New Roman" w:cs="Times New Roman"/>
              </w:rPr>
              <w:t>рік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від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22.12.2018 №24-46/VІІ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зі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</w:rPr>
              <w:t>від</w:t>
            </w:r>
            <w:proofErr w:type="spellEnd"/>
            <w:r w:rsidRPr="00AD0A07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</w:t>
            </w:r>
          </w:p>
        </w:tc>
        <w:tc>
          <w:tcPr>
            <w:tcW w:w="7937" w:type="dxa"/>
            <w:gridSpan w:val="6"/>
            <w:vAlign w:val="center"/>
          </w:tcPr>
          <w:p w:rsidR="00AD0A07" w:rsidRPr="00724DBC" w:rsidRDefault="00724DBC" w:rsidP="00AD0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4DBC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DB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724DB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724DB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DBC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24DBC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", Закон </w:t>
            </w:r>
            <w:proofErr w:type="spellStart"/>
            <w:r w:rsidRPr="00724DB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бюджет </w:t>
            </w:r>
            <w:proofErr w:type="spellStart"/>
            <w:r w:rsidRPr="00724DB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на 2019 </w:t>
            </w:r>
            <w:proofErr w:type="spellStart"/>
            <w:r w:rsidRPr="00724DBC">
              <w:rPr>
                <w:rFonts w:ascii="Times New Roman" w:hAnsi="Times New Roman" w:cs="Times New Roman"/>
              </w:rPr>
              <w:t>рік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", Закон </w:t>
            </w:r>
            <w:proofErr w:type="spellStart"/>
            <w:r w:rsidRPr="00724DB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охорону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навколишнього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DBC">
              <w:rPr>
                <w:rFonts w:ascii="Times New Roman" w:hAnsi="Times New Roman" w:cs="Times New Roman"/>
              </w:rPr>
              <w:t>середовища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", Постанова КМУ "Про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видів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діяльності, </w:t>
            </w:r>
            <w:proofErr w:type="spellStart"/>
            <w:r w:rsidRPr="00724DBC">
              <w:rPr>
                <w:rFonts w:ascii="Times New Roman" w:hAnsi="Times New Roman" w:cs="Times New Roman"/>
              </w:rPr>
              <w:t>що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належать до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природоохоронних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724DBC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Степанківської сільської ради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від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22.12.2018 № 24-13/VІІ "Про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724DBC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навколишнього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пртродного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DBC">
              <w:rPr>
                <w:rFonts w:ascii="Times New Roman" w:hAnsi="Times New Roman" w:cs="Times New Roman"/>
              </w:rPr>
              <w:t>середовища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" на 2019 </w:t>
            </w:r>
            <w:proofErr w:type="spellStart"/>
            <w:r w:rsidRPr="00724DBC">
              <w:rPr>
                <w:rFonts w:ascii="Times New Roman" w:hAnsi="Times New Roman" w:cs="Times New Roman"/>
              </w:rPr>
              <w:t>рік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зі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від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08.04.2019 року № 29-30/VІІ, </w:t>
            </w:r>
            <w:proofErr w:type="spellStart"/>
            <w:r w:rsidRPr="00724DBC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Степанківської сільської ради "Про бюджет Степанківської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DBC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724DBC">
              <w:rPr>
                <w:rFonts w:ascii="Times New Roman" w:hAnsi="Times New Roman" w:cs="Times New Roman"/>
              </w:rPr>
              <w:t>рік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від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22.12.2018 №24-46/VІІ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зі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4DBC">
              <w:rPr>
                <w:rFonts w:ascii="Times New Roman" w:hAnsi="Times New Roman" w:cs="Times New Roman"/>
              </w:rPr>
              <w:t>від</w:t>
            </w:r>
            <w:proofErr w:type="spellEnd"/>
            <w:r w:rsidRPr="00724DBC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</w:tr>
      <w:tr w:rsidR="00AD0A07" w:rsidTr="0051652E">
        <w:tc>
          <w:tcPr>
            <w:tcW w:w="15871" w:type="dxa"/>
            <w:gridSpan w:val="12"/>
          </w:tcPr>
          <w:p w:rsidR="00AD0A07" w:rsidRPr="0051652E" w:rsidRDefault="00AD0A07" w:rsidP="00AD0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AD0A07" w:rsidTr="00005A41">
        <w:tc>
          <w:tcPr>
            <w:tcW w:w="7934" w:type="dxa"/>
            <w:gridSpan w:val="6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37" w:type="dxa"/>
            <w:gridSpan w:val="6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D0A07" w:rsidTr="0051652E">
        <w:tc>
          <w:tcPr>
            <w:tcW w:w="15871" w:type="dxa"/>
            <w:gridSpan w:val="12"/>
          </w:tcPr>
          <w:p w:rsidR="00AD0A07" w:rsidRPr="0051652E" w:rsidRDefault="00AD0A07" w:rsidP="00AD0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AD0A07" w:rsidTr="00147AE3">
        <w:tc>
          <w:tcPr>
            <w:tcW w:w="7934" w:type="dxa"/>
            <w:gridSpan w:val="6"/>
            <w:vAlign w:val="center"/>
          </w:tcPr>
          <w:p w:rsidR="00AD0A07" w:rsidRPr="0073792E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санітарно-епідемілогічного</w:t>
            </w:r>
            <w:proofErr w:type="spellEnd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 xml:space="preserve">  природного </w:t>
            </w: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</w:p>
        </w:tc>
        <w:tc>
          <w:tcPr>
            <w:tcW w:w="7937" w:type="dxa"/>
            <w:gridSpan w:val="6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санітарно-епідемілогічного</w:t>
            </w:r>
            <w:proofErr w:type="spellEnd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 xml:space="preserve">  природного </w:t>
            </w:r>
            <w:proofErr w:type="spellStart"/>
            <w:r w:rsidRPr="0073792E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</w:p>
        </w:tc>
      </w:tr>
      <w:tr w:rsidR="00AD0A07" w:rsidTr="0051652E">
        <w:tc>
          <w:tcPr>
            <w:tcW w:w="15871" w:type="dxa"/>
            <w:gridSpan w:val="12"/>
          </w:tcPr>
          <w:p w:rsidR="00AD0A07" w:rsidRPr="0051652E" w:rsidRDefault="00AD0A07" w:rsidP="00AD0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AD0A07" w:rsidTr="00005A41">
        <w:tc>
          <w:tcPr>
            <w:tcW w:w="7934" w:type="dxa"/>
            <w:gridSpan w:val="6"/>
          </w:tcPr>
          <w:p w:rsidR="00AD0A07" w:rsidRPr="0073792E" w:rsidRDefault="00AD0A07" w:rsidP="00AD0A0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Проведення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із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збирання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вивезення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відходів</w:t>
            </w:r>
            <w:proofErr w:type="spellEnd"/>
          </w:p>
        </w:tc>
        <w:tc>
          <w:tcPr>
            <w:tcW w:w="7937" w:type="dxa"/>
            <w:gridSpan w:val="6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із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збирання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вивезення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відходів</w:t>
            </w:r>
            <w:proofErr w:type="spellEnd"/>
          </w:p>
        </w:tc>
      </w:tr>
      <w:tr w:rsidR="00AD0A07" w:rsidTr="0051652E">
        <w:tc>
          <w:tcPr>
            <w:tcW w:w="15871" w:type="dxa"/>
            <w:gridSpan w:val="12"/>
          </w:tcPr>
          <w:p w:rsidR="00AD0A07" w:rsidRPr="0051652E" w:rsidRDefault="00AD0A07" w:rsidP="00AD0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AD0A07" w:rsidTr="00005A41">
        <w:tc>
          <w:tcPr>
            <w:tcW w:w="7934" w:type="dxa"/>
            <w:gridSpan w:val="6"/>
          </w:tcPr>
          <w:p w:rsidR="00AD0A07" w:rsidRPr="0073792E" w:rsidRDefault="00AD0A07" w:rsidP="00AD0A07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із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збирання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вивезення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відходів</w:t>
            </w:r>
            <w:proofErr w:type="spellEnd"/>
          </w:p>
        </w:tc>
        <w:tc>
          <w:tcPr>
            <w:tcW w:w="7937" w:type="dxa"/>
            <w:gridSpan w:val="6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із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екологічного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збирання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вивезення</w:t>
            </w:r>
            <w:proofErr w:type="spellEnd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792E">
              <w:rPr>
                <w:rFonts w:ascii="Times New Roman" w:eastAsia="Arial" w:hAnsi="Times New Roman" w:cs="Times New Roman"/>
                <w:sz w:val="28"/>
                <w:szCs w:val="28"/>
              </w:rPr>
              <w:t>відходів</w:t>
            </w:r>
            <w:proofErr w:type="spellEnd"/>
          </w:p>
        </w:tc>
      </w:tr>
      <w:tr w:rsidR="00AD0A07" w:rsidTr="00005A41">
        <w:tc>
          <w:tcPr>
            <w:tcW w:w="3446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AD0A07" w:rsidRDefault="00AD0A07" w:rsidP="00AD0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724DBC" w:rsidTr="00005A41">
        <w:tc>
          <w:tcPr>
            <w:tcW w:w="3446" w:type="dxa"/>
            <w:gridSpan w:val="3"/>
          </w:tcPr>
          <w:p w:rsidR="00724DBC" w:rsidRDefault="00724DBC" w:rsidP="00724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88" w:type="dxa"/>
            <w:gridSpan w:val="3"/>
          </w:tcPr>
          <w:p w:rsidR="00724DBC" w:rsidRDefault="00724DBC" w:rsidP="00724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586560</w:t>
            </w:r>
          </w:p>
        </w:tc>
        <w:tc>
          <w:tcPr>
            <w:tcW w:w="3451" w:type="dxa"/>
            <w:gridSpan w:val="3"/>
          </w:tcPr>
          <w:p w:rsidR="00724DBC" w:rsidRDefault="00724DBC" w:rsidP="00724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86" w:type="dxa"/>
            <w:gridSpan w:val="3"/>
          </w:tcPr>
          <w:p w:rsidR="00724DBC" w:rsidRPr="00724DBC" w:rsidRDefault="00724DBC" w:rsidP="00724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Pr="00724DBC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</w:tr>
      <w:tr w:rsidR="00724DBC" w:rsidTr="0051652E">
        <w:tc>
          <w:tcPr>
            <w:tcW w:w="15871" w:type="dxa"/>
            <w:gridSpan w:val="12"/>
          </w:tcPr>
          <w:p w:rsidR="00724DBC" w:rsidRPr="0051652E" w:rsidRDefault="00724DBC" w:rsidP="00724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724DBC" w:rsidTr="00005A41">
        <w:tc>
          <w:tcPr>
            <w:tcW w:w="3446" w:type="dxa"/>
            <w:gridSpan w:val="3"/>
          </w:tcPr>
          <w:p w:rsidR="00724DBC" w:rsidRDefault="00724DBC" w:rsidP="00724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8" w:type="dxa"/>
            <w:gridSpan w:val="3"/>
          </w:tcPr>
          <w:p w:rsidR="00724DBC" w:rsidRDefault="00724DBC" w:rsidP="00724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51" w:type="dxa"/>
            <w:gridSpan w:val="3"/>
          </w:tcPr>
          <w:p w:rsidR="00724DBC" w:rsidRDefault="00724DBC" w:rsidP="00724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86" w:type="dxa"/>
            <w:gridSpan w:val="3"/>
          </w:tcPr>
          <w:p w:rsidR="00724DBC" w:rsidRDefault="00724DBC" w:rsidP="00724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724DBC" w:rsidTr="00005A41">
        <w:tc>
          <w:tcPr>
            <w:tcW w:w="3446" w:type="dxa"/>
            <w:gridSpan w:val="3"/>
          </w:tcPr>
          <w:p w:rsidR="00724DBC" w:rsidRDefault="00724DBC" w:rsidP="00724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88" w:type="dxa"/>
            <w:gridSpan w:val="3"/>
          </w:tcPr>
          <w:p w:rsidR="00724DBC" w:rsidRDefault="00724DBC" w:rsidP="00724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51" w:type="dxa"/>
            <w:gridSpan w:val="3"/>
          </w:tcPr>
          <w:p w:rsidR="00724DBC" w:rsidRDefault="00724DBC" w:rsidP="00724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86" w:type="dxa"/>
            <w:gridSpan w:val="3"/>
          </w:tcPr>
          <w:p w:rsidR="00724DBC" w:rsidRDefault="00724DBC" w:rsidP="00724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24DBC" w:rsidTr="0051652E">
        <w:tc>
          <w:tcPr>
            <w:tcW w:w="15871" w:type="dxa"/>
            <w:gridSpan w:val="12"/>
          </w:tcPr>
          <w:p w:rsidR="00724DBC" w:rsidRPr="0051652E" w:rsidRDefault="00724DBC" w:rsidP="00724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724DBC" w:rsidTr="00005A41">
        <w:tc>
          <w:tcPr>
            <w:tcW w:w="1954" w:type="dxa"/>
            <w:vAlign w:val="center"/>
          </w:tcPr>
          <w:p w:rsidR="00724DBC" w:rsidRPr="00C91000" w:rsidRDefault="00724DBC" w:rsidP="00724DB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724DBC" w:rsidRPr="00C91000" w:rsidRDefault="00724DBC" w:rsidP="00724DB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893" w:type="dxa"/>
            <w:gridSpan w:val="2"/>
            <w:vAlign w:val="center"/>
          </w:tcPr>
          <w:p w:rsidR="00724DBC" w:rsidRPr="00C91000" w:rsidRDefault="00724DBC" w:rsidP="00724DB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495" w:type="dxa"/>
            <w:vAlign w:val="center"/>
          </w:tcPr>
          <w:p w:rsidR="00724DBC" w:rsidRPr="00C91000" w:rsidRDefault="00724DBC" w:rsidP="00724DB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02" w:type="dxa"/>
            <w:vAlign w:val="center"/>
          </w:tcPr>
          <w:p w:rsidR="00724DBC" w:rsidRPr="00C91000" w:rsidRDefault="00724DBC" w:rsidP="00724DB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10" w:type="dxa"/>
            <w:vAlign w:val="center"/>
          </w:tcPr>
          <w:p w:rsidR="00724DBC" w:rsidRPr="00C91000" w:rsidRDefault="00724DBC" w:rsidP="00724DB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56" w:type="dxa"/>
            <w:vAlign w:val="center"/>
          </w:tcPr>
          <w:p w:rsidR="00724DBC" w:rsidRPr="00C91000" w:rsidRDefault="00724DBC" w:rsidP="00724DB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108" w:type="dxa"/>
            <w:gridSpan w:val="2"/>
            <w:vAlign w:val="center"/>
          </w:tcPr>
          <w:p w:rsidR="00724DBC" w:rsidRPr="00C91000" w:rsidRDefault="00724DBC" w:rsidP="00724DB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98" w:type="dxa"/>
            <w:vAlign w:val="center"/>
          </w:tcPr>
          <w:p w:rsidR="00724DBC" w:rsidRPr="00C91000" w:rsidRDefault="00724DBC" w:rsidP="00724DB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65" w:type="dxa"/>
            <w:vAlign w:val="center"/>
          </w:tcPr>
          <w:p w:rsidR="00724DBC" w:rsidRPr="00C91000" w:rsidRDefault="00724DBC" w:rsidP="00724DBC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724DBC" w:rsidTr="00005A41">
        <w:tc>
          <w:tcPr>
            <w:tcW w:w="1954" w:type="dxa"/>
          </w:tcPr>
          <w:p w:rsidR="00724DBC" w:rsidRPr="00A74D16" w:rsidRDefault="00724DBC" w:rsidP="00724D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724DBC" w:rsidRPr="00A74D16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724DBC" w:rsidRPr="00A74D16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24DBC" w:rsidRPr="00A74D16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724DBC" w:rsidRPr="00A74D16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724DBC" w:rsidRPr="00AD0A07" w:rsidRDefault="00724DBC" w:rsidP="00724D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D0A07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56" w:type="dxa"/>
            <w:vAlign w:val="center"/>
          </w:tcPr>
          <w:p w:rsidR="00724DBC" w:rsidRPr="00AD0A07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724DBC" w:rsidRPr="00AD0A07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24DBC" w:rsidRPr="00AD0A07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24DBC" w:rsidRPr="00AD0A07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DBC" w:rsidTr="005A7398">
        <w:tc>
          <w:tcPr>
            <w:tcW w:w="1954" w:type="dxa"/>
            <w:vAlign w:val="center"/>
          </w:tcPr>
          <w:p w:rsidR="00724DBC" w:rsidRPr="00A74D16" w:rsidRDefault="00724DBC" w:rsidP="00724D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фінансування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</w:p>
        </w:tc>
        <w:tc>
          <w:tcPr>
            <w:tcW w:w="890" w:type="dxa"/>
            <w:vAlign w:val="center"/>
          </w:tcPr>
          <w:p w:rsidR="00724DBC" w:rsidRPr="00A74D16" w:rsidRDefault="00724DBC" w:rsidP="00724D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93" w:type="dxa"/>
            <w:gridSpan w:val="2"/>
            <w:vAlign w:val="center"/>
          </w:tcPr>
          <w:p w:rsidR="00724DBC" w:rsidRPr="00A74D16" w:rsidRDefault="00724DBC" w:rsidP="00724D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495" w:type="dxa"/>
            <w:vAlign w:val="center"/>
          </w:tcPr>
          <w:p w:rsidR="00724DBC" w:rsidRPr="00A74D16" w:rsidRDefault="00724DBC" w:rsidP="00724D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2" w:type="dxa"/>
            <w:vAlign w:val="center"/>
          </w:tcPr>
          <w:p w:rsidR="00724DBC" w:rsidRPr="00A74D16" w:rsidRDefault="00724DBC" w:rsidP="00724D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586560,00</w:t>
            </w:r>
          </w:p>
        </w:tc>
        <w:tc>
          <w:tcPr>
            <w:tcW w:w="1810" w:type="dxa"/>
            <w:vAlign w:val="center"/>
          </w:tcPr>
          <w:p w:rsidR="00724DBC" w:rsidRPr="00AD0A07" w:rsidRDefault="00724DBC" w:rsidP="00724D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фінансування</w:t>
            </w:r>
            <w:proofErr w:type="spellEnd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заходів</w:t>
            </w:r>
            <w:proofErr w:type="spellEnd"/>
          </w:p>
        </w:tc>
        <w:tc>
          <w:tcPr>
            <w:tcW w:w="956" w:type="dxa"/>
            <w:vAlign w:val="center"/>
          </w:tcPr>
          <w:p w:rsidR="00724DBC" w:rsidRPr="00AD0A07" w:rsidRDefault="00724DBC" w:rsidP="00724D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108" w:type="dxa"/>
            <w:gridSpan w:val="2"/>
            <w:vAlign w:val="center"/>
          </w:tcPr>
          <w:p w:rsidR="00724DBC" w:rsidRPr="00AD0A07" w:rsidRDefault="00724DBC" w:rsidP="00724D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98" w:type="dxa"/>
            <w:vAlign w:val="center"/>
          </w:tcPr>
          <w:p w:rsidR="00724DBC" w:rsidRPr="00AD0A07" w:rsidRDefault="00724DBC" w:rsidP="00724D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5" w:type="dxa"/>
            <w:vAlign w:val="center"/>
          </w:tcPr>
          <w:p w:rsidR="00724DBC" w:rsidRPr="00AD0A07" w:rsidRDefault="00724DBC" w:rsidP="00724D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504570</w:t>
            </w:r>
            <w:bookmarkStart w:id="0" w:name="_GoBack"/>
            <w:bookmarkEnd w:id="0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24DBC" w:rsidTr="00005A41">
        <w:tc>
          <w:tcPr>
            <w:tcW w:w="1954" w:type="dxa"/>
          </w:tcPr>
          <w:p w:rsidR="00724DBC" w:rsidRPr="00A74D16" w:rsidRDefault="00724DBC" w:rsidP="00724D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724DBC" w:rsidRPr="00A74D16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724DBC" w:rsidRPr="00A74D16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24DBC" w:rsidRPr="00A74D16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724DBC" w:rsidRPr="00A74D16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724DBC" w:rsidRPr="00AD0A07" w:rsidRDefault="00724DBC" w:rsidP="00724D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D0A07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56" w:type="dxa"/>
            <w:vAlign w:val="center"/>
          </w:tcPr>
          <w:p w:rsidR="00724DBC" w:rsidRPr="00AD0A07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724DBC" w:rsidRPr="00AD0A07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24DBC" w:rsidRPr="00AD0A07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24DBC" w:rsidRPr="00AD0A07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DBC" w:rsidTr="005A7398">
        <w:tc>
          <w:tcPr>
            <w:tcW w:w="1954" w:type="dxa"/>
            <w:vAlign w:val="center"/>
          </w:tcPr>
          <w:p w:rsidR="00724DBC" w:rsidRPr="00A74D16" w:rsidRDefault="00724DBC" w:rsidP="00724D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 xml:space="preserve">, яка </w:t>
            </w: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охоплюється</w:t>
            </w:r>
            <w:proofErr w:type="spellEnd"/>
          </w:p>
        </w:tc>
        <w:tc>
          <w:tcPr>
            <w:tcW w:w="890" w:type="dxa"/>
            <w:vAlign w:val="center"/>
          </w:tcPr>
          <w:p w:rsidR="00724DBC" w:rsidRPr="00A74D16" w:rsidRDefault="00724DBC" w:rsidP="00724D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м.кв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3" w:type="dxa"/>
            <w:gridSpan w:val="2"/>
            <w:vAlign w:val="center"/>
          </w:tcPr>
          <w:p w:rsidR="00724DBC" w:rsidRPr="00A74D16" w:rsidRDefault="00724DBC" w:rsidP="00724D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495" w:type="dxa"/>
            <w:vAlign w:val="center"/>
          </w:tcPr>
          <w:p w:rsidR="00724DBC" w:rsidRPr="00A74D16" w:rsidRDefault="00724DBC" w:rsidP="00724D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2" w:type="dxa"/>
            <w:vAlign w:val="center"/>
          </w:tcPr>
          <w:p w:rsidR="00724DBC" w:rsidRPr="00A74D16" w:rsidRDefault="00724DBC" w:rsidP="00724D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810" w:type="dxa"/>
            <w:vAlign w:val="center"/>
          </w:tcPr>
          <w:p w:rsidR="00724DBC" w:rsidRPr="00AD0A07" w:rsidRDefault="00724DBC" w:rsidP="00724D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 xml:space="preserve">, яка </w:t>
            </w: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охоплюється</w:t>
            </w:r>
            <w:proofErr w:type="spellEnd"/>
          </w:p>
        </w:tc>
        <w:tc>
          <w:tcPr>
            <w:tcW w:w="956" w:type="dxa"/>
            <w:vAlign w:val="center"/>
          </w:tcPr>
          <w:p w:rsidR="00724DBC" w:rsidRPr="00AD0A07" w:rsidRDefault="00724DBC" w:rsidP="00724D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м.кв</w:t>
            </w:r>
            <w:proofErr w:type="spellEnd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08" w:type="dxa"/>
            <w:gridSpan w:val="2"/>
            <w:vAlign w:val="center"/>
          </w:tcPr>
          <w:p w:rsidR="00724DBC" w:rsidRPr="00AD0A07" w:rsidRDefault="00724DBC" w:rsidP="00724D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398" w:type="dxa"/>
            <w:vAlign w:val="center"/>
          </w:tcPr>
          <w:p w:rsidR="00724DBC" w:rsidRPr="00AD0A07" w:rsidRDefault="00724DBC" w:rsidP="00724D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5" w:type="dxa"/>
            <w:vAlign w:val="center"/>
          </w:tcPr>
          <w:p w:rsidR="00724DBC" w:rsidRPr="00AD0A07" w:rsidRDefault="00724DBC" w:rsidP="00724D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724DBC" w:rsidTr="003C0C0B">
        <w:tc>
          <w:tcPr>
            <w:tcW w:w="1954" w:type="dxa"/>
          </w:tcPr>
          <w:p w:rsidR="00724DBC" w:rsidRPr="00A74D16" w:rsidRDefault="00724DBC" w:rsidP="00724D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724DBC" w:rsidRPr="00A74D16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724DBC" w:rsidRPr="00A74D16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24DBC" w:rsidRPr="00A74D16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724DBC" w:rsidRPr="00A74D16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</w:tcPr>
          <w:p w:rsidR="00724DBC" w:rsidRPr="00AD0A07" w:rsidRDefault="00724DBC" w:rsidP="00724D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0A07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56" w:type="dxa"/>
            <w:vAlign w:val="center"/>
          </w:tcPr>
          <w:p w:rsidR="00724DBC" w:rsidRPr="00AD0A07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724DBC" w:rsidRPr="00AD0A07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724DBC" w:rsidRPr="00AD0A07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724DBC" w:rsidRPr="00AD0A07" w:rsidRDefault="00724DBC" w:rsidP="0072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DBC" w:rsidTr="005A7398">
        <w:tc>
          <w:tcPr>
            <w:tcW w:w="1954" w:type="dxa"/>
            <w:vAlign w:val="center"/>
          </w:tcPr>
          <w:p w:rsidR="00724DBC" w:rsidRPr="00A74D16" w:rsidRDefault="00724DBC" w:rsidP="00724D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 xml:space="preserve"> на 1 </w:t>
            </w: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0" w:type="dxa"/>
            <w:vAlign w:val="center"/>
          </w:tcPr>
          <w:p w:rsidR="00724DBC" w:rsidRPr="00A74D16" w:rsidRDefault="00724DBC" w:rsidP="00724D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93" w:type="dxa"/>
            <w:gridSpan w:val="2"/>
            <w:vAlign w:val="center"/>
          </w:tcPr>
          <w:p w:rsidR="00724DBC" w:rsidRPr="00A74D16" w:rsidRDefault="00724DBC" w:rsidP="00724D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495" w:type="dxa"/>
            <w:vAlign w:val="center"/>
          </w:tcPr>
          <w:p w:rsidR="00724DBC" w:rsidRPr="00A74D16" w:rsidRDefault="00724DBC" w:rsidP="00724D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2" w:type="dxa"/>
            <w:vAlign w:val="center"/>
          </w:tcPr>
          <w:p w:rsidR="00724DBC" w:rsidRPr="00A74D16" w:rsidRDefault="00724DBC" w:rsidP="00724D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74D16">
              <w:rPr>
                <w:rFonts w:ascii="Times New Roman" w:hAnsi="Times New Roman" w:cs="Times New Roman"/>
                <w:sz w:val="18"/>
                <w:szCs w:val="18"/>
              </w:rPr>
              <w:t>4,25</w:t>
            </w:r>
          </w:p>
        </w:tc>
        <w:tc>
          <w:tcPr>
            <w:tcW w:w="1810" w:type="dxa"/>
            <w:vAlign w:val="center"/>
          </w:tcPr>
          <w:p w:rsidR="00724DBC" w:rsidRPr="00AD0A07" w:rsidRDefault="00724DBC" w:rsidP="00724D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 xml:space="preserve"> на 1 </w:t>
            </w: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6" w:type="dxa"/>
            <w:vAlign w:val="center"/>
          </w:tcPr>
          <w:p w:rsidR="00724DBC" w:rsidRPr="00AD0A07" w:rsidRDefault="00724DBC" w:rsidP="00724DB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108" w:type="dxa"/>
            <w:gridSpan w:val="2"/>
            <w:vAlign w:val="center"/>
          </w:tcPr>
          <w:p w:rsidR="00724DBC" w:rsidRPr="00AD0A07" w:rsidRDefault="00724DBC" w:rsidP="00724DB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98" w:type="dxa"/>
            <w:vAlign w:val="center"/>
          </w:tcPr>
          <w:p w:rsidR="00724DBC" w:rsidRPr="00AD0A07" w:rsidRDefault="00724DBC" w:rsidP="00724D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65" w:type="dxa"/>
            <w:vAlign w:val="center"/>
          </w:tcPr>
          <w:p w:rsidR="00724DBC" w:rsidRPr="00AD0A07" w:rsidRDefault="00724DBC" w:rsidP="00724DB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0A07">
              <w:rPr>
                <w:rFonts w:ascii="Times New Roman" w:hAnsi="Times New Roman" w:cs="Times New Roman"/>
                <w:sz w:val="18"/>
                <w:szCs w:val="18"/>
              </w:rPr>
              <w:t>4,25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AD0A07" w:rsidRDefault="00AD0A07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0A07" w:rsidRDefault="00AD0A07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111DD2"/>
    <w:rsid w:val="001460AD"/>
    <w:rsid w:val="001B6C44"/>
    <w:rsid w:val="003C357B"/>
    <w:rsid w:val="003E67F6"/>
    <w:rsid w:val="003F40B4"/>
    <w:rsid w:val="0051652E"/>
    <w:rsid w:val="00583EAD"/>
    <w:rsid w:val="00586092"/>
    <w:rsid w:val="00594353"/>
    <w:rsid w:val="005D2776"/>
    <w:rsid w:val="00600366"/>
    <w:rsid w:val="006041AA"/>
    <w:rsid w:val="006A7421"/>
    <w:rsid w:val="006E1064"/>
    <w:rsid w:val="00724DBC"/>
    <w:rsid w:val="0073792E"/>
    <w:rsid w:val="007B55E2"/>
    <w:rsid w:val="00866323"/>
    <w:rsid w:val="008F2FF4"/>
    <w:rsid w:val="00906F3B"/>
    <w:rsid w:val="00993A6A"/>
    <w:rsid w:val="00A74D16"/>
    <w:rsid w:val="00AA03E3"/>
    <w:rsid w:val="00AC631D"/>
    <w:rsid w:val="00AD0A07"/>
    <w:rsid w:val="00B924E6"/>
    <w:rsid w:val="00C54AD3"/>
    <w:rsid w:val="00C56B6D"/>
    <w:rsid w:val="00C91000"/>
    <w:rsid w:val="00D42549"/>
    <w:rsid w:val="00DC6E19"/>
    <w:rsid w:val="00EB445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0ED8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73792E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7</cp:revision>
  <cp:lastPrinted>2019-09-10T09:51:00Z</cp:lastPrinted>
  <dcterms:created xsi:type="dcterms:W3CDTF">2019-09-10T10:41:00Z</dcterms:created>
  <dcterms:modified xsi:type="dcterms:W3CDTF">2019-12-19T06:00:00Z</dcterms:modified>
</cp:coreProperties>
</file>