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 Степанківської сільської ради</w:t>
            </w: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04408844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160" w:type="dxa"/>
            <w:gridSpan w:val="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0214060</w:t>
            </w:r>
          </w:p>
        </w:tc>
        <w:tc>
          <w:tcPr>
            <w:tcW w:w="234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4060</w:t>
            </w:r>
          </w:p>
        </w:tc>
        <w:tc>
          <w:tcPr>
            <w:tcW w:w="17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0828</w:t>
            </w:r>
          </w:p>
        </w:tc>
        <w:tc>
          <w:tcPr>
            <w:tcW w:w="6520" w:type="dxa"/>
            <w:gridSpan w:val="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both"/>
            </w:pPr>
            <w:r>
              <w:t xml:space="preserve">Забезпечення діяльності </w:t>
            </w:r>
            <w:proofErr w:type="spellStart"/>
            <w:r>
              <w:t>палаців</w:t>
            </w:r>
            <w:proofErr w:type="spellEnd"/>
            <w:r>
              <w:t xml:space="preserve"> i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iнших </w:t>
            </w:r>
            <w:proofErr w:type="spellStart"/>
            <w:r>
              <w:t>клубних</w:t>
            </w:r>
            <w:proofErr w:type="spellEnd"/>
            <w:r>
              <w:t xml:space="preserve"> закладів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t>23521000000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790A4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234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6520" w:type="dxa"/>
            <w:gridSpan w:val="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Pr="00790A41" w:rsidRDefault="00790A41">
            <w:pPr>
              <w:ind w:left="60"/>
              <w:jc w:val="center"/>
              <w:rPr>
                <w:sz w:val="14"/>
                <w:szCs w:val="14"/>
              </w:rPr>
            </w:pPr>
            <w:r w:rsidRPr="00790A41">
              <w:rPr>
                <w:sz w:val="14"/>
                <w:szCs w:val="14"/>
              </w:rPr>
              <w:t xml:space="preserve">Код </w:t>
            </w:r>
            <w:proofErr w:type="spellStart"/>
            <w:r w:rsidRPr="00790A41">
              <w:rPr>
                <w:sz w:val="14"/>
                <w:szCs w:val="14"/>
              </w:rPr>
              <w:t>Економічної</w:t>
            </w:r>
            <w:proofErr w:type="spellEnd"/>
            <w:r w:rsidRPr="00790A41">
              <w:rPr>
                <w:sz w:val="14"/>
                <w:szCs w:val="14"/>
              </w:rPr>
              <w:t xml:space="preserve"> </w:t>
            </w:r>
            <w:proofErr w:type="spellStart"/>
            <w:r w:rsidRPr="00790A41">
              <w:rPr>
                <w:sz w:val="14"/>
                <w:szCs w:val="14"/>
              </w:rPr>
              <w:t>класифікації</w:t>
            </w:r>
            <w:proofErr w:type="spellEnd"/>
            <w:r w:rsidRPr="00790A41">
              <w:rPr>
                <w:sz w:val="14"/>
                <w:szCs w:val="14"/>
              </w:rPr>
              <w:br/>
            </w:r>
            <w:proofErr w:type="spellStart"/>
            <w:r w:rsidRPr="00790A41">
              <w:rPr>
                <w:sz w:val="14"/>
                <w:szCs w:val="14"/>
              </w:rPr>
              <w:t>видатків</w:t>
            </w:r>
            <w:proofErr w:type="spellEnd"/>
            <w:r w:rsidRPr="00790A41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790A41">
              <w:rPr>
                <w:sz w:val="14"/>
                <w:szCs w:val="14"/>
              </w:rPr>
              <w:t>Класифікації</w:t>
            </w:r>
            <w:proofErr w:type="spellEnd"/>
            <w:r w:rsidRPr="00790A41">
              <w:rPr>
                <w:sz w:val="14"/>
                <w:szCs w:val="14"/>
              </w:rPr>
              <w:br/>
            </w:r>
            <w:proofErr w:type="spellStart"/>
            <w:r w:rsidRPr="00790A41">
              <w:rPr>
                <w:sz w:val="14"/>
                <w:szCs w:val="14"/>
              </w:rPr>
              <w:t>кредитування</w:t>
            </w:r>
            <w:proofErr w:type="spellEnd"/>
            <w:r w:rsidRPr="00790A41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216 844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142 394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47 300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155 270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 w:rsidRPr="00790A41">
              <w:rPr>
                <w:rFonts w:eastAsia="Arial"/>
                <w:sz w:val="16"/>
                <w:szCs w:val="16"/>
              </w:rPr>
              <w:t>кошти</w:t>
            </w:r>
            <w:proofErr w:type="spellEnd"/>
            <w:r w:rsidRPr="00790A41">
              <w:rPr>
                <w:rFonts w:eastAsia="Arial"/>
                <w:sz w:val="16"/>
                <w:szCs w:val="16"/>
              </w:rPr>
              <w:t xml:space="preserve"> на оплату стандартного </w:t>
            </w:r>
            <w:proofErr w:type="spellStart"/>
            <w:r w:rsidRPr="00790A41">
              <w:rPr>
                <w:rFonts w:eastAsia="Arial"/>
                <w:sz w:val="16"/>
                <w:szCs w:val="16"/>
              </w:rPr>
              <w:t>приєднання</w:t>
            </w:r>
            <w:proofErr w:type="spellEnd"/>
            <w:r w:rsidRPr="00790A41">
              <w:rPr>
                <w:rFonts w:eastAsia="Arial"/>
                <w:sz w:val="16"/>
                <w:szCs w:val="16"/>
              </w:rPr>
              <w:t xml:space="preserve"> до </w:t>
            </w:r>
            <w:proofErr w:type="spellStart"/>
            <w:r w:rsidRPr="00790A41">
              <w:rPr>
                <w:sz w:val="16"/>
                <w:szCs w:val="16"/>
              </w:rPr>
              <w:t>електричних</w:t>
            </w:r>
            <w:proofErr w:type="spellEnd"/>
            <w:r w:rsidRPr="00790A41">
              <w:rPr>
                <w:sz w:val="16"/>
                <w:szCs w:val="16"/>
              </w:rPr>
              <w:t xml:space="preserve"> мереж </w:t>
            </w:r>
            <w:proofErr w:type="spellStart"/>
            <w:r w:rsidRPr="00790A41">
              <w:rPr>
                <w:sz w:val="16"/>
                <w:szCs w:val="16"/>
              </w:rPr>
              <w:t>системи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розподілу</w:t>
            </w:r>
            <w:proofErr w:type="spellEnd"/>
            <w:r w:rsidRPr="00790A41">
              <w:rPr>
                <w:sz w:val="16"/>
                <w:szCs w:val="16"/>
              </w:rPr>
              <w:t xml:space="preserve">, </w:t>
            </w:r>
            <w:proofErr w:type="spellStart"/>
            <w:r w:rsidRPr="00790A41">
              <w:rPr>
                <w:sz w:val="16"/>
                <w:szCs w:val="16"/>
              </w:rPr>
              <w:t>дозволу</w:t>
            </w:r>
            <w:proofErr w:type="spellEnd"/>
            <w:r w:rsidRPr="00790A41">
              <w:rPr>
                <w:sz w:val="16"/>
                <w:szCs w:val="16"/>
              </w:rPr>
              <w:t xml:space="preserve"> спец </w:t>
            </w:r>
            <w:proofErr w:type="spellStart"/>
            <w:r w:rsidRPr="00790A41">
              <w:rPr>
                <w:sz w:val="16"/>
                <w:szCs w:val="16"/>
              </w:rPr>
              <w:t>водокористування</w:t>
            </w:r>
            <w:proofErr w:type="spellEnd"/>
            <w:r w:rsidRPr="00790A41">
              <w:rPr>
                <w:sz w:val="16"/>
                <w:szCs w:val="16"/>
              </w:rPr>
              <w:t xml:space="preserve">, </w:t>
            </w:r>
            <w:proofErr w:type="spellStart"/>
            <w:r w:rsidRPr="00790A41">
              <w:rPr>
                <w:sz w:val="16"/>
                <w:szCs w:val="16"/>
              </w:rPr>
              <w:t>лабораторних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досліджень</w:t>
            </w:r>
            <w:proofErr w:type="spellEnd"/>
            <w:r w:rsidRPr="00790A41">
              <w:rPr>
                <w:sz w:val="16"/>
                <w:szCs w:val="16"/>
              </w:rPr>
              <w:t xml:space="preserve"> води,</w:t>
            </w:r>
            <w: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бактеріологічних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досліджень</w:t>
            </w:r>
            <w:proofErr w:type="spellEnd"/>
            <w:r w:rsidRPr="00790A41">
              <w:rPr>
                <w:sz w:val="16"/>
                <w:szCs w:val="16"/>
              </w:rPr>
              <w:t xml:space="preserve"> води, поточного ремонту, </w:t>
            </w:r>
            <w:proofErr w:type="spellStart"/>
            <w:r w:rsidRPr="00790A41">
              <w:rPr>
                <w:sz w:val="16"/>
                <w:szCs w:val="16"/>
              </w:rPr>
              <w:t>тощо</w:t>
            </w:r>
            <w:proofErr w:type="spellEnd"/>
            <w:r w:rsidRPr="00790A41">
              <w:rPr>
                <w:sz w:val="16"/>
                <w:szCs w:val="16"/>
              </w:rPr>
              <w:t>.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216 844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142 394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47 300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155 270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44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закладів клубного типу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1575649,00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1722819,00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відвідувача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87,18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95,71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одного заходу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9807,49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4"/>
              </w:rPr>
              <w:t>10767,62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D37D4" w:rsidRDefault="00790A41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"Забезпечення </w:t>
            </w:r>
            <w:r>
              <w:t xml:space="preserve">діяльності </w:t>
            </w:r>
            <w:proofErr w:type="spellStart"/>
            <w:r>
              <w:t>палаців</w:t>
            </w:r>
            <w:proofErr w:type="spellEnd"/>
            <w:r>
              <w:t xml:space="preserve"> і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</w:t>
            </w: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7D4" w:rsidRDefault="00790A41">
            <w:r>
              <w:rPr>
                <w:sz w:val="16"/>
              </w:rPr>
              <w:t xml:space="preserve">№15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3D37D4" w:rsidRDefault="003D37D4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D37D4" w:rsidRDefault="00790A41">
            <w:pPr>
              <w:spacing w:after="200"/>
              <w:ind w:left="500"/>
            </w:pPr>
            <w:r>
              <w:t xml:space="preserve">закладів"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на 2020 </w:t>
            </w:r>
            <w:proofErr w:type="spellStart"/>
            <w:r>
              <w:t>рік</w:t>
            </w:r>
            <w:proofErr w:type="spellEnd"/>
            <w:r>
              <w:t xml:space="preserve">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стандартного </w:t>
            </w:r>
            <w:proofErr w:type="spellStart"/>
            <w:r>
              <w:t>приєднання</w:t>
            </w:r>
            <w:proofErr w:type="spellEnd"/>
            <w:r>
              <w:t xml:space="preserve"> до </w:t>
            </w:r>
            <w:proofErr w:type="spellStart"/>
            <w:r>
              <w:t>електричних</w:t>
            </w:r>
            <w:proofErr w:type="spellEnd"/>
            <w:r>
              <w:t xml:space="preserve"> мереж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, </w:t>
            </w:r>
            <w:proofErr w:type="spellStart"/>
            <w:r>
              <w:t>дозволу</w:t>
            </w:r>
            <w:proofErr w:type="spellEnd"/>
            <w:r>
              <w:t xml:space="preserve"> спец </w:t>
            </w:r>
            <w:proofErr w:type="spellStart"/>
            <w:r>
              <w:t>водокористування</w:t>
            </w:r>
            <w:proofErr w:type="spellEnd"/>
            <w:r>
              <w:t xml:space="preserve">,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води, </w:t>
            </w:r>
            <w:proofErr w:type="spellStart"/>
            <w:r>
              <w:t>бактеріологі</w:t>
            </w:r>
            <w:r>
              <w:t>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води, поточного ремонту,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Pr="00790A41" w:rsidRDefault="00790A41">
            <w:pPr>
              <w:ind w:left="60"/>
              <w:jc w:val="center"/>
              <w:rPr>
                <w:sz w:val="14"/>
                <w:szCs w:val="14"/>
              </w:rPr>
            </w:pPr>
            <w:r w:rsidRPr="00790A41">
              <w:rPr>
                <w:sz w:val="14"/>
                <w:szCs w:val="14"/>
              </w:rPr>
              <w:t xml:space="preserve">Код </w:t>
            </w:r>
            <w:proofErr w:type="spellStart"/>
            <w:r w:rsidRPr="00790A41">
              <w:rPr>
                <w:sz w:val="14"/>
                <w:szCs w:val="14"/>
              </w:rPr>
              <w:t>Економічної</w:t>
            </w:r>
            <w:proofErr w:type="spellEnd"/>
            <w:r w:rsidRPr="00790A41">
              <w:rPr>
                <w:sz w:val="14"/>
                <w:szCs w:val="14"/>
              </w:rPr>
              <w:t xml:space="preserve"> </w:t>
            </w:r>
            <w:proofErr w:type="spellStart"/>
            <w:r w:rsidRPr="00790A41">
              <w:rPr>
                <w:sz w:val="14"/>
                <w:szCs w:val="14"/>
              </w:rPr>
              <w:t>класифікації</w:t>
            </w:r>
            <w:proofErr w:type="spellEnd"/>
            <w:r w:rsidRPr="00790A41">
              <w:rPr>
                <w:sz w:val="14"/>
                <w:szCs w:val="14"/>
              </w:rPr>
              <w:br/>
            </w:r>
            <w:proofErr w:type="spellStart"/>
            <w:r w:rsidRPr="00790A41">
              <w:rPr>
                <w:sz w:val="14"/>
                <w:szCs w:val="14"/>
              </w:rPr>
              <w:t>видатків</w:t>
            </w:r>
            <w:proofErr w:type="spellEnd"/>
            <w:r w:rsidRPr="00790A41">
              <w:rPr>
                <w:sz w:val="14"/>
                <w:szCs w:val="14"/>
              </w:rPr>
              <w:t xml:space="preserve"> бюджету / код </w:t>
            </w:r>
            <w:proofErr w:type="spellStart"/>
            <w:r w:rsidRPr="00790A41">
              <w:rPr>
                <w:sz w:val="14"/>
                <w:szCs w:val="14"/>
              </w:rPr>
              <w:t>Класифікації</w:t>
            </w:r>
            <w:proofErr w:type="spellEnd"/>
            <w:r w:rsidRPr="00790A41">
              <w:rPr>
                <w:sz w:val="14"/>
                <w:szCs w:val="14"/>
              </w:rPr>
              <w:br/>
            </w:r>
            <w:proofErr w:type="spellStart"/>
            <w:r w:rsidRPr="00790A41">
              <w:rPr>
                <w:sz w:val="14"/>
                <w:szCs w:val="14"/>
              </w:rPr>
              <w:t>кредитування</w:t>
            </w:r>
            <w:proofErr w:type="spellEnd"/>
            <w:r w:rsidRPr="00790A41">
              <w:rPr>
                <w:sz w:val="14"/>
                <w:szCs w:val="14"/>
              </w:rPr>
              <w:t xml:space="preserve">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49 996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164 120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52 646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172 818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 w:rsidRPr="00790A41">
              <w:rPr>
                <w:rFonts w:eastAsia="Arial"/>
                <w:sz w:val="16"/>
                <w:szCs w:val="16"/>
              </w:rPr>
              <w:t>кошти</w:t>
            </w:r>
            <w:proofErr w:type="spellEnd"/>
            <w:r w:rsidRPr="00790A41">
              <w:rPr>
                <w:rFonts w:eastAsia="Arial"/>
                <w:sz w:val="16"/>
                <w:szCs w:val="16"/>
              </w:rPr>
              <w:t xml:space="preserve"> на оплату стандартного </w:t>
            </w:r>
            <w:proofErr w:type="spellStart"/>
            <w:r w:rsidRPr="00790A41">
              <w:rPr>
                <w:rFonts w:eastAsia="Arial"/>
                <w:sz w:val="16"/>
                <w:szCs w:val="16"/>
              </w:rPr>
              <w:t>приєднання</w:t>
            </w:r>
            <w:proofErr w:type="spellEnd"/>
            <w:r w:rsidRPr="00790A41">
              <w:rPr>
                <w:rFonts w:eastAsia="Arial"/>
                <w:sz w:val="16"/>
                <w:szCs w:val="16"/>
              </w:rPr>
              <w:t xml:space="preserve"> до </w:t>
            </w:r>
            <w:proofErr w:type="spellStart"/>
            <w:r w:rsidRPr="00790A41">
              <w:rPr>
                <w:sz w:val="16"/>
                <w:szCs w:val="16"/>
              </w:rPr>
              <w:t>електричних</w:t>
            </w:r>
            <w:proofErr w:type="spellEnd"/>
            <w:r w:rsidRPr="00790A41">
              <w:rPr>
                <w:sz w:val="16"/>
                <w:szCs w:val="16"/>
              </w:rPr>
              <w:t xml:space="preserve"> мереж </w:t>
            </w:r>
            <w:proofErr w:type="spellStart"/>
            <w:r w:rsidRPr="00790A41">
              <w:rPr>
                <w:sz w:val="16"/>
                <w:szCs w:val="16"/>
              </w:rPr>
              <w:t>системи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розподілу</w:t>
            </w:r>
            <w:proofErr w:type="spellEnd"/>
            <w:r w:rsidRPr="00790A41">
              <w:rPr>
                <w:sz w:val="16"/>
                <w:szCs w:val="16"/>
              </w:rPr>
              <w:t xml:space="preserve">, </w:t>
            </w:r>
            <w:proofErr w:type="spellStart"/>
            <w:r w:rsidRPr="00790A41">
              <w:rPr>
                <w:sz w:val="16"/>
                <w:szCs w:val="16"/>
              </w:rPr>
              <w:t>дозволу</w:t>
            </w:r>
            <w:proofErr w:type="spellEnd"/>
            <w:r w:rsidRPr="00790A41">
              <w:rPr>
                <w:sz w:val="16"/>
                <w:szCs w:val="16"/>
              </w:rPr>
              <w:t xml:space="preserve"> спец </w:t>
            </w:r>
            <w:proofErr w:type="spellStart"/>
            <w:r w:rsidRPr="00790A41">
              <w:rPr>
                <w:sz w:val="16"/>
                <w:szCs w:val="16"/>
              </w:rPr>
              <w:t>водокористування</w:t>
            </w:r>
            <w:proofErr w:type="spellEnd"/>
            <w:r w:rsidRPr="00790A41">
              <w:rPr>
                <w:sz w:val="16"/>
                <w:szCs w:val="16"/>
              </w:rPr>
              <w:t xml:space="preserve">, </w:t>
            </w:r>
            <w:proofErr w:type="spellStart"/>
            <w:r w:rsidRPr="00790A41">
              <w:rPr>
                <w:sz w:val="16"/>
                <w:szCs w:val="16"/>
              </w:rPr>
              <w:t>лабораторних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досліджень</w:t>
            </w:r>
            <w:proofErr w:type="spellEnd"/>
            <w:r w:rsidRPr="00790A41">
              <w:rPr>
                <w:sz w:val="16"/>
                <w:szCs w:val="16"/>
              </w:rPr>
              <w:t xml:space="preserve"> води,</w:t>
            </w:r>
            <w: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бактеріологічних</w:t>
            </w:r>
            <w:proofErr w:type="spellEnd"/>
            <w:r w:rsidRPr="00790A41">
              <w:rPr>
                <w:sz w:val="16"/>
                <w:szCs w:val="16"/>
              </w:rPr>
              <w:t xml:space="preserve"> </w:t>
            </w:r>
            <w:proofErr w:type="spellStart"/>
            <w:r w:rsidRPr="00790A41">
              <w:rPr>
                <w:sz w:val="16"/>
                <w:szCs w:val="16"/>
              </w:rPr>
              <w:t>досліджень</w:t>
            </w:r>
            <w:proofErr w:type="spellEnd"/>
            <w:r w:rsidRPr="00790A41">
              <w:rPr>
                <w:sz w:val="16"/>
                <w:szCs w:val="16"/>
              </w:rPr>
              <w:t xml:space="preserve"> води, поточного ремонту, </w:t>
            </w:r>
            <w:proofErr w:type="spellStart"/>
            <w:r w:rsidRPr="00790A41">
              <w:rPr>
                <w:sz w:val="16"/>
                <w:szCs w:val="16"/>
              </w:rPr>
              <w:t>тощо</w:t>
            </w:r>
            <w:proofErr w:type="spellEnd"/>
            <w:r w:rsidRPr="00790A41">
              <w:rPr>
                <w:sz w:val="16"/>
                <w:szCs w:val="16"/>
              </w:rPr>
              <w:t>.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49 996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164 120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52 646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right="60"/>
              <w:jc w:val="right"/>
            </w:pPr>
            <w:r>
              <w:rPr>
                <w:b/>
                <w:sz w:val="16"/>
              </w:rPr>
              <w:t>172 818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індикативних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прогнозних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показників</w:t>
            </w:r>
            <w:proofErr w:type="spellEnd"/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(прогноз)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передбачення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організації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культурного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зміцнення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культурних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</w:rPr>
              <w:t>традицій</w:t>
            </w:r>
            <w:proofErr w:type="spellEnd"/>
            <w:r>
              <w:rPr>
                <w:rFonts w:ascii="Arial" w:eastAsia="Arial" w:hAnsi="Arial" w:cs="Arial"/>
                <w:i/>
                <w:sz w:val="14"/>
              </w:rPr>
              <w:t> 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закладів клубного типу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1665461.0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1821020.0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1753730.0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1917534.0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відвідувача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92.53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101.17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97.43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106.53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3D37D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одного заходу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10409.13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11381.37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10961.0</w:t>
            </w:r>
          </w:p>
        </w:tc>
        <w:tc>
          <w:tcPr>
            <w:tcW w:w="2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D37D4" w:rsidRDefault="00790A41">
            <w:pPr>
              <w:ind w:right="60"/>
              <w:jc w:val="right"/>
            </w:pPr>
            <w:r>
              <w:rPr>
                <w:sz w:val="16"/>
              </w:rPr>
              <w:t>11984.58</w:t>
            </w: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7D4" w:rsidRDefault="00790A41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06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D37D4" w:rsidRDefault="00790A41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"Забезп</w:t>
            </w:r>
            <w:r>
              <w:t xml:space="preserve">ечення діяльності </w:t>
            </w:r>
            <w:proofErr w:type="spellStart"/>
            <w:r>
              <w:t>палаців</w:t>
            </w:r>
            <w:proofErr w:type="spellEnd"/>
            <w:r>
              <w:t xml:space="preserve"> і </w:t>
            </w:r>
            <w:proofErr w:type="spellStart"/>
            <w:r>
              <w:t>будинків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клубів</w:t>
            </w:r>
            <w:proofErr w:type="spellEnd"/>
            <w:r>
              <w:t xml:space="preserve">, </w:t>
            </w:r>
            <w:proofErr w:type="spellStart"/>
            <w:r>
              <w:t>центрів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клубних</w:t>
            </w:r>
            <w:proofErr w:type="spellEnd"/>
            <w:r>
              <w:t xml:space="preserve"> закладів" по КЕКВ 2240 "Оплата </w:t>
            </w:r>
            <w:proofErr w:type="spellStart"/>
            <w:r>
              <w:t>послуг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комунальних</w:t>
            </w:r>
            <w:proofErr w:type="spellEnd"/>
            <w:r>
              <w:t xml:space="preserve">)" на 2021-2022 роки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фінансувати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оплату стандартного </w:t>
            </w:r>
            <w:proofErr w:type="spellStart"/>
            <w:r>
              <w:t>приєднання</w:t>
            </w:r>
            <w:proofErr w:type="spellEnd"/>
            <w:r>
              <w:t xml:space="preserve"> до </w:t>
            </w:r>
            <w:proofErr w:type="spellStart"/>
            <w:r>
              <w:t>електричних</w:t>
            </w:r>
            <w:proofErr w:type="spellEnd"/>
            <w:r>
              <w:t xml:space="preserve"> мер</w:t>
            </w:r>
            <w:r>
              <w:t xml:space="preserve">еж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, </w:t>
            </w:r>
            <w:proofErr w:type="spellStart"/>
            <w:r>
              <w:t>дозволу</w:t>
            </w:r>
            <w:proofErr w:type="spellEnd"/>
            <w:r>
              <w:t xml:space="preserve"> спец </w:t>
            </w:r>
            <w:proofErr w:type="spellStart"/>
            <w:r>
              <w:t>водокористування</w:t>
            </w:r>
            <w:proofErr w:type="spellEnd"/>
            <w:r>
              <w:t xml:space="preserve">,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води, </w:t>
            </w:r>
            <w:proofErr w:type="spellStart"/>
            <w:r>
              <w:t>бактеріологічних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води, поточного ремонту, </w:t>
            </w:r>
            <w:proofErr w:type="spellStart"/>
            <w:r>
              <w:t>тощо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1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3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Pr="00790A41" w:rsidRDefault="00790A41" w:rsidP="00790A41">
            <w:pPr>
              <w:jc w:val="center"/>
              <w:rPr>
                <w:lang w:val="uk-UA"/>
              </w:rPr>
            </w:pPr>
            <w:r>
              <w:t xml:space="preserve">І.М. </w:t>
            </w:r>
            <w:r>
              <w:rPr>
                <w:lang w:val="uk-UA"/>
              </w:rPr>
              <w:t>Чекаленко</w:t>
            </w: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76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r>
              <w:rPr>
                <w:b/>
              </w:rPr>
              <w:t>Нач.від.план.,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звітності-гол.бух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6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 w:rsidP="00790A41">
            <w:pPr>
              <w:jc w:val="center"/>
            </w:pPr>
            <w:proofErr w:type="spellStart"/>
            <w:r>
              <w:t>Л.М.</w:t>
            </w:r>
            <w:bookmarkStart w:id="0" w:name="_GoBack"/>
            <w:bookmarkEnd w:id="0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56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40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7D4" w:rsidRDefault="00790A4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  <w:tr w:rsidR="003D37D4" w:rsidTr="00790A4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7D4" w:rsidRDefault="00790A41">
            <w:r>
              <w:rPr>
                <w:sz w:val="16"/>
              </w:rPr>
              <w:t xml:space="preserve">№15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07.02.2020  р.</w:t>
            </w:r>
          </w:p>
        </w:tc>
        <w:tc>
          <w:tcPr>
            <w:tcW w:w="4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80" w:type="dxa"/>
          </w:tcPr>
          <w:p w:rsidR="003D37D4" w:rsidRDefault="003D37D4">
            <w:pPr>
              <w:pStyle w:val="EMPTYCELLSTYLE"/>
            </w:pPr>
          </w:p>
        </w:tc>
        <w:tc>
          <w:tcPr>
            <w:tcW w:w="360" w:type="dxa"/>
          </w:tcPr>
          <w:p w:rsidR="003D37D4" w:rsidRDefault="003D37D4">
            <w:pPr>
              <w:pStyle w:val="EMPTYCELLSTYLE"/>
            </w:pPr>
          </w:p>
        </w:tc>
      </w:tr>
    </w:tbl>
    <w:p w:rsidR="00000000" w:rsidRDefault="00790A4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4"/>
    <w:rsid w:val="003D37D4"/>
    <w:rsid w:val="00790A41"/>
    <w:rsid w:val="00A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56DD"/>
  <w15:docId w15:val="{823D998F-6426-4791-9DCD-3A846BFB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2020-02-16T08:09:00Z</dcterms:created>
  <dcterms:modified xsi:type="dcterms:W3CDTF">2020-02-16T08:11:00Z</dcterms:modified>
</cp:coreProperties>
</file>