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1419" w14:textId="77777777" w:rsidR="00A564FF" w:rsidRDefault="00A564FF" w:rsidP="00A564FF">
      <w:pPr>
        <w:ind w:left="6372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3 </w:t>
      </w:r>
    </w:p>
    <w:p w14:paraId="2867EA7C" w14:textId="77777777" w:rsidR="00A564FF" w:rsidRDefault="00A564FF" w:rsidP="00A564FF">
      <w:pPr>
        <w:ind w:left="6372"/>
        <w:jc w:val="both"/>
        <w:rPr>
          <w:lang w:val="uk-UA"/>
        </w:rPr>
      </w:pPr>
      <w:r>
        <w:rPr>
          <w:lang w:val="uk-UA"/>
        </w:rPr>
        <w:t xml:space="preserve">до рішення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</w:t>
      </w:r>
    </w:p>
    <w:p w14:paraId="359B6400" w14:textId="77777777" w:rsidR="00A564FF" w:rsidRDefault="00A564FF" w:rsidP="00A564FF">
      <w:pPr>
        <w:ind w:left="6372"/>
        <w:jc w:val="both"/>
        <w:rPr>
          <w:lang w:val="uk-UA"/>
        </w:rPr>
      </w:pPr>
      <w:r>
        <w:rPr>
          <w:lang w:val="uk-UA"/>
        </w:rPr>
        <w:t>сільської ради</w:t>
      </w:r>
    </w:p>
    <w:p w14:paraId="25581C62" w14:textId="77777777" w:rsidR="00A564FF" w:rsidRDefault="00A564FF" w:rsidP="00A564FF">
      <w:pPr>
        <w:ind w:left="6372"/>
        <w:jc w:val="both"/>
        <w:rPr>
          <w:sz w:val="28"/>
          <w:szCs w:val="28"/>
          <w:lang w:val="uk-UA"/>
        </w:rPr>
      </w:pPr>
      <w:r>
        <w:rPr>
          <w:lang w:val="uk-UA"/>
        </w:rPr>
        <w:t>№43-2/VІІ від 07.02.2020</w:t>
      </w:r>
    </w:p>
    <w:p w14:paraId="4045A0E9" w14:textId="77777777" w:rsidR="00A564FF" w:rsidRDefault="00A564FF" w:rsidP="00A564FF">
      <w:pPr>
        <w:jc w:val="right"/>
        <w:rPr>
          <w:sz w:val="28"/>
          <w:szCs w:val="28"/>
          <w:lang w:val="uk-UA"/>
        </w:rPr>
      </w:pPr>
    </w:p>
    <w:p w14:paraId="4A3AE528" w14:textId="77777777" w:rsidR="00A564FF" w:rsidRDefault="00A564FF" w:rsidP="00A564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14:paraId="5076198E" w14:textId="77777777" w:rsidR="00A564FF" w:rsidRDefault="00A564FF" w:rsidP="00A564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 голови ради щодо здійснення державної регуляторної політики </w:t>
      </w:r>
      <w:proofErr w:type="spellStart"/>
      <w:r>
        <w:rPr>
          <w:b/>
          <w:sz w:val="28"/>
          <w:szCs w:val="28"/>
          <w:lang w:val="uk-UA"/>
        </w:rPr>
        <w:t>Степанківською</w:t>
      </w:r>
      <w:proofErr w:type="spellEnd"/>
      <w:r>
        <w:rPr>
          <w:b/>
          <w:sz w:val="28"/>
          <w:szCs w:val="28"/>
          <w:lang w:val="uk-UA"/>
        </w:rPr>
        <w:t xml:space="preserve"> сільською радою у 2019 році</w:t>
      </w:r>
    </w:p>
    <w:p w14:paraId="5DBF373F" w14:textId="77777777" w:rsidR="00A564FF" w:rsidRDefault="00A564FF" w:rsidP="00A564FF">
      <w:pPr>
        <w:jc w:val="center"/>
        <w:rPr>
          <w:b/>
          <w:color w:val="FF00FF"/>
          <w:sz w:val="28"/>
          <w:szCs w:val="28"/>
          <w:lang w:val="uk-UA"/>
        </w:rPr>
      </w:pPr>
    </w:p>
    <w:p w14:paraId="0BB763DA" w14:textId="77777777" w:rsidR="00A564FF" w:rsidRDefault="00A564FF" w:rsidP="00A564F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Степанківська</w:t>
      </w:r>
      <w:proofErr w:type="spellEnd"/>
      <w:r>
        <w:rPr>
          <w:sz w:val="28"/>
          <w:szCs w:val="28"/>
          <w:lang w:val="uk-UA"/>
        </w:rPr>
        <w:t xml:space="preserve"> сільська рада здійснює регуляторну діяльність, спрямовану на підготовку, прийняття та перегляд регуляторних актів відповідно до Закону </w:t>
      </w:r>
      <w:r>
        <w:rPr>
          <w:color w:val="000000"/>
          <w:sz w:val="28"/>
          <w:szCs w:val="28"/>
          <w:lang w:val="uk-UA"/>
        </w:rPr>
        <w:t>України «Про засади державної регуляторної політики у сфері господарської діяльності». При її здійсненні сільська рада керується принципами доцільності, ефективності, збалансованості</w:t>
      </w:r>
      <w:r>
        <w:rPr>
          <w:sz w:val="28"/>
          <w:szCs w:val="28"/>
          <w:lang w:val="uk-UA"/>
        </w:rPr>
        <w:t>, передбачуваності, прозорості та врахування громадської думки.</w:t>
      </w:r>
    </w:p>
    <w:p w14:paraId="157E4E42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виконання основних засад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державної регуляторної політики, передбачених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Законом,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регуляторна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діяльність сільської ради у сфері господарської діяльності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спрямована на вдосконалення правового регулювання господарських відносин, а також адміністративних відносин між органами місцевого самоврядування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та суб’єктами господарювання, недопущення прийняття економічно недоцільних та неефективних регуляторних актів, зменшення втручання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у діяльність суб’єктів господарювання та усунення перешкод для розвитку господарської діяльності, що здійснюється в межах, у порядку та у спосіб, що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встановлені</w:t>
      </w:r>
      <w:r>
        <w:rPr>
          <w:sz w:val="28"/>
          <w:szCs w:val="28"/>
        </w:rPr>
        <w:t> </w:t>
      </w:r>
      <w:hyperlink r:id="rId5" w:tgtFrame="_blank" w:history="1">
        <w:r>
          <w:rPr>
            <w:rStyle w:val="a8"/>
            <w:iCs/>
            <w:sz w:val="28"/>
            <w:szCs w:val="28"/>
            <w:bdr w:val="none" w:sz="0" w:space="0" w:color="auto" w:frame="1"/>
            <w:lang w:val="uk-UA"/>
          </w:rPr>
          <w:t>Конституцією</w:t>
        </w:r>
      </w:hyperlink>
      <w:r>
        <w:rPr>
          <w:sz w:val="28"/>
          <w:szCs w:val="28"/>
        </w:rPr>
        <w:t xml:space="preserve"> 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298CE5F6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Регуляторна діяльність - це діяльність, спрямована на підготовку, прийняття, відстеження результативності та перегляд регуляторних актів, яка здійснюється сільською радою в порядку та у спосіб, що встановлені</w:t>
      </w:r>
      <w:r>
        <w:rPr>
          <w:sz w:val="28"/>
          <w:szCs w:val="28"/>
        </w:rPr>
        <w:t> </w:t>
      </w:r>
      <w:hyperlink r:id="rId6" w:tgtFrame="_blank" w:history="1">
        <w:r>
          <w:rPr>
            <w:rStyle w:val="a8"/>
            <w:iCs/>
            <w:sz w:val="28"/>
            <w:szCs w:val="28"/>
            <w:bdr w:val="none" w:sz="0" w:space="0" w:color="auto" w:frame="1"/>
            <w:lang w:val="uk-UA"/>
          </w:rPr>
          <w:t>Конституцією України</w:t>
        </w:r>
      </w:hyperlink>
      <w:r>
        <w:rPr>
          <w:sz w:val="28"/>
          <w:szCs w:val="28"/>
          <w:lang w:val="uk-UA"/>
        </w:rPr>
        <w:t xml:space="preserve"> та законодавчими актами.</w:t>
      </w:r>
    </w:p>
    <w:p w14:paraId="1D5ED9BF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сільській раді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всі дії виконувались згідно порядку планування, підготовки, прийняття,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відстеження та перегляду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регуляторних актів та процедур державної регуляторної політики, які виписані в Законі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Регламенті сільської ради.</w:t>
      </w:r>
    </w:p>
    <w:p w14:paraId="5AD443E2" w14:textId="77777777" w:rsidR="00A564FF" w:rsidRDefault="00A564FF" w:rsidP="00A564F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Повноваження щодо здійснення сільською радою державної регуляторної політики покладено на постійну комісію сільської ради з питань фінансів, бюджету, планування соціально-економічного розвитку,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інвестицій та міжнародного співробітництва. У терміни, визначені чинним законодавством, відповідальна постійна комісія має забезпечувати підготовку експертних висновків щодо регуляторного впливу проектів регуляторних актів та висновків про відповідність регуляторних актів вимогам статей 4 та 8 Закону України «Про засади державної регуляторної політики» у сфері господарської діяльності».</w:t>
      </w:r>
    </w:p>
    <w:p w14:paraId="1C3D2A97" w14:textId="77777777" w:rsidR="00A564FF" w:rsidRDefault="00A564FF" w:rsidP="00A564F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вимогами статті 38 Закону України «Про засади державної регуляторної політики у сфері господарської діяльності» голова сільської </w:t>
      </w:r>
      <w:r>
        <w:rPr>
          <w:color w:val="000000"/>
          <w:sz w:val="28"/>
          <w:szCs w:val="28"/>
          <w:lang w:val="uk-UA"/>
        </w:rPr>
        <w:lastRenderedPageBreak/>
        <w:t xml:space="preserve">ради щорічно звітує про здійснення державної регуляторної політики виконавчими органами сільської ради. </w:t>
      </w:r>
    </w:p>
    <w:p w14:paraId="7197B580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роботи з підготовки проектів регуляторних актів у сфері господарської діяльності проводились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 урахуванням вимог частин 3 та 4 статті 7 Закону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щодо планування діяльності з підготовки проектів регуляторних актів та отримання проектів регуляторних актів, а також змін до них.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сільською</w:t>
      </w:r>
      <w:proofErr w:type="spellEnd"/>
      <w:proofErr w:type="gram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поточного року.</w:t>
      </w:r>
    </w:p>
    <w:p w14:paraId="641AD6C0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Затверджений</w:t>
      </w:r>
      <w:proofErr w:type="spellEnd"/>
      <w:r>
        <w:rPr>
          <w:sz w:val="28"/>
          <w:szCs w:val="28"/>
        </w:rPr>
        <w:t xml:space="preserve"> план 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іяльності</w:t>
      </w:r>
      <w:proofErr w:type="spellEnd"/>
      <w:r>
        <w:rPr>
          <w:sz w:val="28"/>
          <w:szCs w:val="28"/>
        </w:rPr>
        <w:t> з 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роектів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, 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оприлюднюються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</w:t>
      </w:r>
      <w:proofErr w:type="spellEnd"/>
      <w:r>
        <w:rPr>
          <w:sz w:val="28"/>
          <w:szCs w:val="28"/>
        </w:rPr>
        <w:t xml:space="preserve"> як у </w:t>
      </w:r>
      <w:proofErr w:type="spellStart"/>
      <w:r>
        <w:rPr>
          <w:sz w:val="28"/>
          <w:szCs w:val="28"/>
        </w:rPr>
        <w:t>десятиденний</w:t>
      </w:r>
      <w:proofErr w:type="spellEnd"/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>.</w:t>
      </w:r>
    </w:p>
    <w:p w14:paraId="74AD6946" w14:textId="77777777" w:rsidR="00A564FF" w:rsidRDefault="00A564FF" w:rsidP="00A564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планування діяльності сільської ради з прийняття рішень, 15.11.2018 року затверджено План діяльності сільської ради з підготовки проектів регуляторних актів на 2019 рік, який розміщено на офіційному веб-сайті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громади.</w:t>
      </w:r>
    </w:p>
    <w:p w14:paraId="3BACA75A" w14:textId="77777777" w:rsidR="00A564FF" w:rsidRDefault="00A564FF" w:rsidP="00A564F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підготовки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</w:t>
      </w:r>
      <w:proofErr w:type="spellEnd"/>
      <w:r>
        <w:rPr>
          <w:sz w:val="28"/>
          <w:szCs w:val="28"/>
          <w:lang w:val="uk-UA"/>
        </w:rPr>
        <w:t xml:space="preserve">і наступні </w:t>
      </w:r>
      <w:proofErr w:type="spellStart"/>
      <w:r>
        <w:rPr>
          <w:sz w:val="28"/>
          <w:szCs w:val="28"/>
        </w:rPr>
        <w:t>регуляторн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  <w:lang w:val="uk-UA"/>
        </w:rPr>
        <w:t xml:space="preserve">и: </w:t>
      </w: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8881"/>
      </w:tblGrid>
      <w:tr w:rsidR="00A564FF" w14:paraId="2F758952" w14:textId="77777777" w:rsidTr="00A564FF">
        <w:tc>
          <w:tcPr>
            <w:tcW w:w="617" w:type="dxa"/>
            <w:hideMark/>
          </w:tcPr>
          <w:p w14:paraId="699D0A86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881" w:type="dxa"/>
            <w:hideMark/>
          </w:tcPr>
          <w:p w14:paraId="48A9A6EC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Про встановлення Туристичного збору та затвердження відповідного Положення на 2019 рік </w:t>
            </w:r>
          </w:p>
        </w:tc>
      </w:tr>
      <w:tr w:rsidR="00A564FF" w14:paraId="34E4599C" w14:textId="77777777" w:rsidTr="00A564FF">
        <w:tc>
          <w:tcPr>
            <w:tcW w:w="617" w:type="dxa"/>
            <w:hideMark/>
          </w:tcPr>
          <w:p w14:paraId="4B21E39C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881" w:type="dxa"/>
            <w:hideMark/>
          </w:tcPr>
          <w:p w14:paraId="6E25A2D3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встановлення Транспортного податку та затвердження відповідного Положення на 2019 рік</w:t>
            </w:r>
          </w:p>
        </w:tc>
      </w:tr>
      <w:tr w:rsidR="00A564FF" w14:paraId="3ACDDF1B" w14:textId="77777777" w:rsidTr="00A564FF">
        <w:tc>
          <w:tcPr>
            <w:tcW w:w="617" w:type="dxa"/>
            <w:hideMark/>
          </w:tcPr>
          <w:p w14:paraId="374E914F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881" w:type="dxa"/>
            <w:hideMark/>
          </w:tcPr>
          <w:p w14:paraId="5C296328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встановлення тарифів ТОВ «Українські екологічні технології Черкаси» на послуги з вивезення побутових відходів для населення</w:t>
            </w:r>
          </w:p>
        </w:tc>
      </w:tr>
      <w:tr w:rsidR="00A564FF" w14:paraId="5A1B4B09" w14:textId="77777777" w:rsidTr="00A564FF">
        <w:tc>
          <w:tcPr>
            <w:tcW w:w="617" w:type="dxa"/>
            <w:hideMark/>
          </w:tcPr>
          <w:p w14:paraId="06F4E607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881" w:type="dxa"/>
            <w:hideMark/>
          </w:tcPr>
          <w:p w14:paraId="7C295E80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Про встановлення Збору за місця для паркування транспортних засобів та затвердження відповідного Положення на 2019 рік </w:t>
            </w:r>
          </w:p>
        </w:tc>
      </w:tr>
      <w:tr w:rsidR="00A564FF" w14:paraId="6656ECBD" w14:textId="77777777" w:rsidTr="00A564FF">
        <w:tc>
          <w:tcPr>
            <w:tcW w:w="617" w:type="dxa"/>
            <w:hideMark/>
          </w:tcPr>
          <w:p w14:paraId="641A7FE5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881" w:type="dxa"/>
            <w:hideMark/>
          </w:tcPr>
          <w:p w14:paraId="67A9560C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Про встановлення Збору за місця для паркування транспортних засобів та затвердження відповідного Положення на 2020 рік </w:t>
            </w:r>
          </w:p>
        </w:tc>
      </w:tr>
      <w:tr w:rsidR="00A564FF" w14:paraId="2A2C3FB7" w14:textId="77777777" w:rsidTr="00A564FF">
        <w:tc>
          <w:tcPr>
            <w:tcW w:w="617" w:type="dxa"/>
            <w:hideMark/>
          </w:tcPr>
          <w:p w14:paraId="2FC4FB75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881" w:type="dxa"/>
            <w:hideMark/>
          </w:tcPr>
          <w:p w14:paraId="32EF8774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встановлення Транспортного податку та затвердження відповідного Положення на 2020 рік</w:t>
            </w:r>
          </w:p>
        </w:tc>
      </w:tr>
      <w:tr w:rsidR="00A564FF" w14:paraId="457552D6" w14:textId="77777777" w:rsidTr="00A564FF">
        <w:tc>
          <w:tcPr>
            <w:tcW w:w="617" w:type="dxa"/>
            <w:hideMark/>
          </w:tcPr>
          <w:p w14:paraId="7E950966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881" w:type="dxa"/>
            <w:hideMark/>
          </w:tcPr>
          <w:p w14:paraId="3696778E" w14:textId="77777777" w:rsidR="00A564FF" w:rsidRDefault="00A564FF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Про встановлення Туристичного збору та затвердження відповідного Положення на 2020 рік </w:t>
            </w:r>
          </w:p>
        </w:tc>
      </w:tr>
      <w:tr w:rsidR="00A564FF" w14:paraId="055C17C7" w14:textId="77777777" w:rsidTr="00A564FF">
        <w:tc>
          <w:tcPr>
            <w:tcW w:w="617" w:type="dxa"/>
            <w:hideMark/>
          </w:tcPr>
          <w:p w14:paraId="40F7A3D3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881" w:type="dxa"/>
            <w:hideMark/>
          </w:tcPr>
          <w:p w14:paraId="7754A573" w14:textId="77777777" w:rsidR="00A564FF" w:rsidRDefault="00A564FF">
            <w:pPr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Єдиного податку та затвердження відповідного Положення на 2020 рік</w:t>
            </w:r>
          </w:p>
        </w:tc>
      </w:tr>
      <w:tr w:rsidR="00A564FF" w14:paraId="25A28B1F" w14:textId="77777777" w:rsidTr="00A564FF">
        <w:tc>
          <w:tcPr>
            <w:tcW w:w="617" w:type="dxa"/>
            <w:hideMark/>
          </w:tcPr>
          <w:p w14:paraId="3908EF75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881" w:type="dxa"/>
            <w:hideMark/>
          </w:tcPr>
          <w:p w14:paraId="26D71DE4" w14:textId="77777777" w:rsidR="00A564FF" w:rsidRDefault="00A564F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встановлення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ставок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пільг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сплати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нерухоме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майно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відмінне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земельної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ділянки</w:t>
            </w:r>
            <w:proofErr w:type="spellEnd"/>
            <w:r>
              <w:rPr>
                <w:sz w:val="28"/>
                <w:szCs w:val="28"/>
                <w:lang w:eastAsia="en-US"/>
              </w:rPr>
              <w:t>, на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рік</w:t>
            </w:r>
            <w:proofErr w:type="spellEnd"/>
          </w:p>
        </w:tc>
      </w:tr>
      <w:tr w:rsidR="00A564FF" w14:paraId="68D5F10B" w14:textId="77777777" w:rsidTr="00A564FF">
        <w:tc>
          <w:tcPr>
            <w:tcW w:w="617" w:type="dxa"/>
            <w:hideMark/>
          </w:tcPr>
          <w:p w14:paraId="67BFEF30" w14:textId="77777777" w:rsidR="00A564FF" w:rsidRDefault="00A564FF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881" w:type="dxa"/>
            <w:hideMark/>
          </w:tcPr>
          <w:p w14:paraId="4947F6DA" w14:textId="77777777" w:rsidR="00A564FF" w:rsidRDefault="00A564FF">
            <w:pPr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ставок та пільг із сплати земельного податку, на 2020 рік</w:t>
            </w:r>
          </w:p>
        </w:tc>
      </w:tr>
    </w:tbl>
    <w:p w14:paraId="728D29C1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запланованих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проектів</w:t>
      </w:r>
      <w:proofErr w:type="spellEnd"/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аналізів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процедура, </w:t>
      </w:r>
      <w:proofErr w:type="spellStart"/>
      <w:r>
        <w:rPr>
          <w:sz w:val="28"/>
          <w:szCs w:val="28"/>
        </w:rPr>
        <w:t>виписана</w:t>
      </w:r>
      <w:proofErr w:type="spellEnd"/>
      <w:r>
        <w:rPr>
          <w:sz w:val="28"/>
          <w:szCs w:val="28"/>
        </w:rPr>
        <w:t xml:space="preserve"> Законом та Регламентом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розглядались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оприлюднювались</w:t>
      </w:r>
      <w:proofErr w:type="spellEnd"/>
      <w:r>
        <w:rPr>
          <w:sz w:val="28"/>
          <w:szCs w:val="28"/>
        </w:rPr>
        <w:t xml:space="preserve"> 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друкувалось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газеті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Сільські обрії</w:t>
      </w:r>
      <w:r>
        <w:rPr>
          <w:sz w:val="28"/>
          <w:szCs w:val="28"/>
        </w:rPr>
        <w:t>».</w:t>
      </w:r>
    </w:p>
    <w:p w14:paraId="2C87CD7F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Після отримання пропозицій щодо вдосконалення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проектів регуляторних актів та аналізів їх регуляторного впливу, сільська рада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розглядала на сесії та приймала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рішення з врахуванням наданих пропозицій та зауважень.</w:t>
      </w:r>
    </w:p>
    <w:p w14:paraId="70E348B1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мети, </w:t>
      </w:r>
      <w:proofErr w:type="spellStart"/>
      <w:r>
        <w:rPr>
          <w:sz w:val="28"/>
          <w:szCs w:val="28"/>
        </w:rPr>
        <w:t>заради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процедури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цими</w:t>
      </w:r>
      <w:proofErr w:type="spellEnd"/>
      <w:r>
        <w:rPr>
          <w:sz w:val="28"/>
          <w:szCs w:val="28"/>
        </w:rPr>
        <w:t xml:space="preserve"> актами, </w:t>
      </w:r>
      <w:proofErr w:type="gramStart"/>
      <w:r>
        <w:rPr>
          <w:sz w:val="28"/>
          <w:szCs w:val="28"/>
        </w:rPr>
        <w:t>в установлений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проводилось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.</w:t>
      </w:r>
    </w:p>
    <w:p w14:paraId="5A689A0C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радою  в</w:t>
      </w:r>
      <w:proofErr w:type="gramEnd"/>
      <w:r>
        <w:rPr>
          <w:sz w:val="28"/>
          <w:szCs w:val="28"/>
        </w:rPr>
        <w:t>  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акт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  планом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14:paraId="79EA9FFD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01.01.2020 року 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сільській раді є 12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діючих регуляторних актів, які розміщені на її офіційному веб-сайті.</w:t>
      </w:r>
    </w:p>
    <w:p w14:paraId="3908A0C0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увага радою приділялася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актів.</w:t>
      </w:r>
    </w:p>
    <w:p w14:paraId="1B0BB8B3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метою </w:t>
      </w:r>
      <w:proofErr w:type="gramStart"/>
      <w:r>
        <w:rPr>
          <w:sz w:val="28"/>
          <w:szCs w:val="28"/>
        </w:rPr>
        <w:t xml:space="preserve">проводилось  </w:t>
      </w:r>
      <w:proofErr w:type="spellStart"/>
      <w:r>
        <w:rPr>
          <w:sz w:val="28"/>
          <w:szCs w:val="28"/>
        </w:rPr>
        <w:t>відстеження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в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.</w:t>
      </w:r>
    </w:p>
    <w:p w14:paraId="2BB9616D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егуляторних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актів</w:t>
      </w:r>
      <w:proofErr w:type="spellEnd"/>
      <w:proofErr w:type="gramEnd"/>
      <w:r>
        <w:rPr>
          <w:sz w:val="28"/>
          <w:szCs w:val="28"/>
        </w:rPr>
        <w:t xml:space="preserve">  проводилось до дня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регуляторними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актами.</w:t>
      </w:r>
    </w:p>
    <w:p w14:paraId="01DB677F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здійснювалось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три </w:t>
      </w:r>
      <w:proofErr w:type="spellStart"/>
      <w:r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рішень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оприлюнено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14:paraId="591E1EE5" w14:textId="77777777" w:rsidR="00A564FF" w:rsidRDefault="00A564FF" w:rsidP="00A56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  рада </w:t>
      </w:r>
      <w:proofErr w:type="spellStart"/>
      <w:r>
        <w:rPr>
          <w:sz w:val="28"/>
          <w:szCs w:val="28"/>
        </w:rPr>
        <w:t>планує</w:t>
      </w:r>
      <w:proofErr w:type="spellEnd"/>
      <w:r>
        <w:rPr>
          <w:sz w:val="28"/>
          <w:szCs w:val="28"/>
        </w:rPr>
        <w:t xml:space="preserve"> у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14:paraId="73941407" w14:textId="77777777" w:rsidR="00A564FF" w:rsidRDefault="00A564FF" w:rsidP="00A564FF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14:paraId="12D14369" w14:textId="77777777" w:rsidR="00A564FF" w:rsidRDefault="00A564FF" w:rsidP="00A564FF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14:paraId="0113D828" w14:textId="77777777" w:rsidR="00A564FF" w:rsidRDefault="00A564FF" w:rsidP="00A564FF">
      <w:pPr>
        <w:rPr>
          <w:sz w:val="28"/>
          <w:szCs w:val="28"/>
          <w:lang w:val="uk-UA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14:paraId="7158352B" w14:textId="77777777" w:rsidR="00A564FF" w:rsidRDefault="00A564FF" w:rsidP="00A564FF">
      <w:pPr>
        <w:rPr>
          <w:rFonts w:asciiTheme="minorHAnsi" w:hAnsiTheme="minorHAnsi" w:cstheme="minorBidi"/>
          <w:sz w:val="22"/>
          <w:szCs w:val="22"/>
          <w:lang w:val="uk-UA"/>
        </w:rPr>
      </w:pPr>
    </w:p>
    <w:p w14:paraId="5FFCAD21" w14:textId="77777777" w:rsidR="000155CC" w:rsidRPr="00A564FF" w:rsidRDefault="000155CC" w:rsidP="00A564FF"/>
    <w:sectPr w:rsidR="000155CC" w:rsidRPr="00A5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342B"/>
    <w:multiLevelType w:val="hybridMultilevel"/>
    <w:tmpl w:val="5044D846"/>
    <w:lvl w:ilvl="0" w:tplc="906AD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1BF3"/>
    <w:multiLevelType w:val="hybridMultilevel"/>
    <w:tmpl w:val="434C293A"/>
    <w:lvl w:ilvl="0" w:tplc="9606C95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37246"/>
    <w:multiLevelType w:val="hybridMultilevel"/>
    <w:tmpl w:val="9E304522"/>
    <w:lvl w:ilvl="0" w:tplc="C206F5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B"/>
    <w:rsid w:val="000155CC"/>
    <w:rsid w:val="0029293A"/>
    <w:rsid w:val="002B249A"/>
    <w:rsid w:val="00363211"/>
    <w:rsid w:val="007328E5"/>
    <w:rsid w:val="00732D6B"/>
    <w:rsid w:val="00A564FF"/>
    <w:rsid w:val="00B923FE"/>
    <w:rsid w:val="00C45081"/>
    <w:rsid w:val="00D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D158"/>
  <w15:docId w15:val="{8A837F44-8156-45E3-93EF-B986666F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5CC"/>
    <w:pPr>
      <w:spacing w:before="100" w:beforeAutospacing="1" w:after="100" w:afterAutospacing="1"/>
    </w:pPr>
  </w:style>
  <w:style w:type="character" w:customStyle="1" w:styleId="1">
    <w:name w:val="Основной текст Знак1"/>
    <w:uiPriority w:val="99"/>
    <w:semiHidden/>
    <w:locked/>
    <w:rsid w:val="000155C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4">
    <w:name w:val="Emphasis"/>
    <w:uiPriority w:val="20"/>
    <w:qFormat/>
    <w:rsid w:val="000155CC"/>
    <w:rPr>
      <w:i/>
      <w:iCs/>
    </w:rPr>
  </w:style>
  <w:style w:type="paragraph" w:styleId="a5">
    <w:name w:val="Body Text Indent"/>
    <w:basedOn w:val="a"/>
    <w:link w:val="a6"/>
    <w:uiPriority w:val="99"/>
    <w:rsid w:val="000155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Hyperlink"/>
    <w:basedOn w:val="a0"/>
    <w:uiPriority w:val="99"/>
    <w:semiHidden/>
    <w:unhideWhenUsed/>
    <w:rsid w:val="000155CC"/>
    <w:rPr>
      <w:color w:val="0000FF"/>
      <w:u w:val="single"/>
    </w:rPr>
  </w:style>
  <w:style w:type="table" w:styleId="a9">
    <w:name w:val="Table Grid"/>
    <w:basedOn w:val="a1"/>
    <w:uiPriority w:val="59"/>
    <w:rsid w:val="0001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0155CC"/>
  </w:style>
  <w:style w:type="paragraph" w:styleId="aa">
    <w:name w:val="Balloon Text"/>
    <w:basedOn w:val="a"/>
    <w:link w:val="ab"/>
    <w:uiPriority w:val="99"/>
    <w:semiHidden/>
    <w:unhideWhenUsed/>
    <w:rsid w:val="00015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54%D0%BA/96-%D0%B2%D1%80" TargetMode="External"/><Relationship Id="rId5" Type="http://schemas.openxmlformats.org/officeDocument/2006/relationships/hyperlink" Target="http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2020-02-26T06:48:00Z</dcterms:created>
  <dcterms:modified xsi:type="dcterms:W3CDTF">2020-02-26T06:48:00Z</dcterms:modified>
</cp:coreProperties>
</file>