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E867F0">
        <w:trPr>
          <w:trHeight w:hRule="exact" w:val="44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4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 w:rsidTr="009920C1">
        <w:trPr>
          <w:trHeight w:hRule="exact" w:val="591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0216030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3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 w:rsidTr="009920C1">
        <w:trPr>
          <w:trHeight w:hRule="exact" w:val="779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1 050 672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605 410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413 748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освітлення</w:t>
            </w:r>
            <w:proofErr w:type="spellEnd"/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3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зупинки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сміттєвих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баків</w:t>
            </w:r>
            <w:proofErr w:type="spellEnd"/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right="60"/>
              <w:jc w:val="right"/>
            </w:pPr>
            <w:r>
              <w:rPr>
                <w:b/>
                <w:sz w:val="16"/>
              </w:rPr>
              <w:t>1 050 672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right="60"/>
              <w:jc w:val="right"/>
            </w:pPr>
            <w:r>
              <w:rPr>
                <w:b/>
                <w:sz w:val="16"/>
              </w:rPr>
              <w:t>605 410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right="60"/>
              <w:jc w:val="right"/>
            </w:pPr>
            <w:r>
              <w:rPr>
                <w:b/>
                <w:sz w:val="16"/>
              </w:rPr>
              <w:t>413 748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right="60"/>
              <w:jc w:val="right"/>
            </w:pPr>
            <w:r>
              <w:rPr>
                <w:b/>
                <w:sz w:val="16"/>
              </w:rPr>
              <w:t>113 000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вуличного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його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стані</w:t>
            </w:r>
            <w:proofErr w:type="spellEnd"/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освітлення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4"/>
              </w:rPr>
              <w:t>195000,00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4"/>
              </w:rPr>
              <w:t>240000,00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освітлення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4"/>
              </w:rPr>
              <w:t>7222,00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3B2082">
            <w:pPr>
              <w:ind w:right="60"/>
              <w:jc w:val="right"/>
            </w:pPr>
            <w:r>
              <w:rPr>
                <w:sz w:val="14"/>
              </w:rPr>
              <w:t>8888,89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 w:rsidTr="009920C1">
        <w:trPr>
          <w:trHeight w:hRule="exact" w:val="864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867F0" w:rsidRPr="009920C1" w:rsidRDefault="003B2082">
            <w:pPr>
              <w:spacing w:after="200"/>
              <w:ind w:left="500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з поточного ремонту </w:t>
            </w:r>
            <w:proofErr w:type="spellStart"/>
            <w:r>
              <w:t>щитів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заміною</w:t>
            </w:r>
            <w:proofErr w:type="spellEnd"/>
            <w:r>
              <w:t xml:space="preserve"> </w:t>
            </w:r>
            <w:proofErr w:type="spellStart"/>
            <w:r>
              <w:t>електролічильників</w:t>
            </w:r>
            <w:proofErr w:type="spellEnd"/>
            <w:r>
              <w:t xml:space="preserve">, </w:t>
            </w:r>
            <w:proofErr w:type="spellStart"/>
            <w:r>
              <w:t>автоматів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,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лічильників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зупинки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транспорту, </w:t>
            </w:r>
            <w:r w:rsidR="009920C1">
              <w:rPr>
                <w:lang w:val="uk-UA"/>
              </w:rPr>
              <w:t xml:space="preserve">металевих баків для скла, контейнерів для відпрацьованих </w:t>
            </w:r>
            <w:proofErr w:type="spellStart"/>
            <w:r w:rsidR="009920C1">
              <w:rPr>
                <w:lang w:val="uk-UA"/>
              </w:rPr>
              <w:t>батерейок</w:t>
            </w:r>
            <w:proofErr w:type="spellEnd"/>
            <w:r w:rsidR="009920C1">
              <w:rPr>
                <w:lang w:val="uk-UA"/>
              </w:rPr>
              <w:t>, тощо для реалізації двох проектів Громадського бюджету.</w:t>
            </w: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4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7F0" w:rsidRDefault="003B2082">
            <w:r>
              <w:rPr>
                <w:sz w:val="16"/>
              </w:rPr>
              <w:t xml:space="preserve">№24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440"/>
        </w:trPr>
        <w:tc>
          <w:tcPr>
            <w:tcW w:w="440" w:type="dxa"/>
          </w:tcPr>
          <w:p w:rsidR="00E867F0" w:rsidRDefault="00E867F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4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867F0" w:rsidRDefault="00E867F0">
            <w:pPr>
              <w:spacing w:after="200"/>
              <w:ind w:left="500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3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8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104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867F0" w:rsidRDefault="003B208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7F0" w:rsidRDefault="00E867F0">
            <w:pPr>
              <w:ind w:left="60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2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7F0" w:rsidRDefault="00E867F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E867F0">
            <w:pPr>
              <w:jc w:val="center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10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6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7F0" w:rsidRDefault="003B208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4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867F0" w:rsidRDefault="00E867F0">
            <w:pPr>
              <w:spacing w:after="200"/>
              <w:ind w:left="500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5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3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 w:rsidP="009920C1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14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32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 w:rsidP="009920C1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14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7F0" w:rsidRDefault="003B208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37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5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9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40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867F0" w:rsidRDefault="00E867F0">
            <w:pPr>
              <w:pStyle w:val="EMPTYCELLSTYLE"/>
            </w:pPr>
          </w:p>
        </w:tc>
        <w:tc>
          <w:tcPr>
            <w:tcW w:w="116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867F0" w:rsidRDefault="00E867F0">
            <w:pPr>
              <w:pStyle w:val="EMPTYCELLSTYLE"/>
            </w:pPr>
          </w:p>
        </w:tc>
        <w:tc>
          <w:tcPr>
            <w:tcW w:w="20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  <w:tr w:rsidR="00E867F0">
        <w:trPr>
          <w:trHeight w:hRule="exact" w:val="400"/>
        </w:trPr>
        <w:tc>
          <w:tcPr>
            <w:tcW w:w="44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7F0" w:rsidRDefault="003B2082">
            <w:r>
              <w:rPr>
                <w:sz w:val="16"/>
              </w:rPr>
              <w:t xml:space="preserve">№24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80" w:type="dxa"/>
          </w:tcPr>
          <w:p w:rsidR="00E867F0" w:rsidRDefault="00E867F0">
            <w:pPr>
              <w:pStyle w:val="EMPTYCELLSTYLE"/>
            </w:pPr>
          </w:p>
        </w:tc>
        <w:tc>
          <w:tcPr>
            <w:tcW w:w="360" w:type="dxa"/>
          </w:tcPr>
          <w:p w:rsidR="00E867F0" w:rsidRDefault="00E867F0">
            <w:pPr>
              <w:pStyle w:val="EMPTYCELLSTYLE"/>
            </w:pPr>
          </w:p>
        </w:tc>
      </w:tr>
    </w:tbl>
    <w:p w:rsidR="003B2082" w:rsidRDefault="003B2082"/>
    <w:sectPr w:rsidR="003B208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0"/>
    <w:rsid w:val="003B2082"/>
    <w:rsid w:val="009920C1"/>
    <w:rsid w:val="00E867F0"/>
    <w:rsid w:val="00E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B347"/>
  <w15:docId w15:val="{49CC134F-2FA5-4709-8EB0-43A1CA6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2020-03-31T07:02:00Z</dcterms:created>
  <dcterms:modified xsi:type="dcterms:W3CDTF">2020-04-04T07:07:00Z</dcterms:modified>
</cp:coreProperties>
</file>