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40"/>
        <w:gridCol w:w="40"/>
        <w:gridCol w:w="100"/>
        <w:gridCol w:w="420"/>
        <w:gridCol w:w="40"/>
        <w:gridCol w:w="240"/>
        <w:gridCol w:w="4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440"/>
        <w:gridCol w:w="40"/>
        <w:gridCol w:w="40"/>
        <w:gridCol w:w="120"/>
        <w:gridCol w:w="40"/>
        <w:gridCol w:w="40"/>
        <w:gridCol w:w="4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10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100"/>
        <w:gridCol w:w="40"/>
        <w:gridCol w:w="80"/>
        <w:gridCol w:w="420"/>
        <w:gridCol w:w="20"/>
        <w:gridCol w:w="10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5960" w:type="dxa"/>
            <w:gridSpan w:val="11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r>
              <w:rPr>
                <w:b/>
              </w:rPr>
              <w:t>Виконавчий комітет Степанківської сільської ради</w:t>
            </w: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r>
              <w:t xml:space="preserve">  Виконавчий комітет Степанківської сільської ради</w:t>
            </w: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0217321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7321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5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both"/>
            </w:pPr>
            <w:r>
              <w:t>Будівництво освітніх установ та закладів</w:t>
            </w: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1D2A" w:rsidRDefault="00A758D3">
            <w:pPr>
              <w:spacing w:after="200"/>
              <w:ind w:left="500"/>
            </w:pPr>
            <w:r>
              <w:t>Забезпечення належного рівня доступу до отримання послуг, що надаються освітніми закладами</w:t>
            </w: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31D2A" w:rsidRDefault="00A758D3">
            <w:pPr>
              <w:ind w:left="500"/>
            </w:pPr>
            <w:r>
              <w:t>Забезпечення будівництва, реконструкції, капітального ремонту, технічного переоснащення об’єктів</w:t>
            </w: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1D2A" w:rsidRDefault="00A758D3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</w:t>
            </w: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2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2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2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2 356 640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2 356 640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2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будівництва, реконструкції, капітального ремонту, технічного переоснащення об’єктів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2 356 640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2 356 640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31D2A" w:rsidRDefault="00F31D2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будівництва, реконструкції, капітального ремонту, технічного переоснащення об’єктів</w:t>
            </w: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будівництво, реконструкцію, капітальний ремонт, технічне переоснащення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55000,00</w:t>
            </w: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об’єктів, на яких плануються роботи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будівництво, реконструкцію, капітальний ремонт, технічне переоснащення одного об’єкту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27500,00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27500,00</w:t>
            </w: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готовності об’єктів будівництва, реконструкції, капітального ремонту, технічного переоснащення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195,00</w:t>
            </w: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left="60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31D2A" w:rsidRDefault="00F31D2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31D2A" w:rsidRDefault="00F31D2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8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F31D2A" w:rsidRDefault="00F31D2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68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1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6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68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38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24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</w:t>
            </w:r>
            <w:r>
              <w:rPr>
                <w:sz w:val="16"/>
              </w:rPr>
              <w:t>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Технічне переоснащення 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2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2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2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8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4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електропостачання ДНЗ «Берізка»  по вул. Героїв України, 1  с. Хацьки Черкаського району</w:t>
            </w:r>
          </w:p>
        </w:tc>
        <w:tc>
          <w:tcPr>
            <w:tcW w:w="10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Технічне переоснащення електропостачання Степанківської ЗОШ І-ІІІ ступенів № 1 (їдальня та майстерня) с. Степанки вул. Героїв України, 56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4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1D2A" w:rsidRDefault="00A758D3">
            <w:pPr>
              <w:spacing w:after="200"/>
            </w:pPr>
            <w:r>
              <w:t>За бюджетною програмою 0217321 "Будівництво освітніх установ та закладів" у 2018 році кошти використані за цільовим призначенням. У 2019 році зобов'язання беруться в межах затверджених асигнувань, кошти використовуються за цільовим призначенням, та очікуєт</w:t>
            </w:r>
            <w:r>
              <w:t>ься їх використання в повному обсязі. Обсяг планових асигнувань на 2020 рік розраховувався відповідно до визначеної потреби.</w:t>
            </w: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4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2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7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265 688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265 688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235 664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78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t>2019 рік</w:t>
            </w:r>
          </w:p>
        </w:tc>
        <w:tc>
          <w:tcPr>
            <w:tcW w:w="6060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t>2020 рік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295 000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A758D3">
            <w:pPr>
              <w:ind w:right="60"/>
              <w:jc w:val="right"/>
            </w:pPr>
            <w:r>
              <w:rPr>
                <w:b/>
                <w:sz w:val="16"/>
              </w:rPr>
              <w:t>55 000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14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3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16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F31D2A" w:rsidRDefault="00F31D2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31D2A" w:rsidRDefault="00F31D2A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168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4040" w:type="dxa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2A" w:rsidRDefault="00A758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D2A" w:rsidRDefault="00F31D2A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left="60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left="60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1D2A" w:rsidRDefault="00F31D2A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F31D2A">
            <w:pPr>
              <w:jc w:val="center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1D2A" w:rsidRDefault="00A758D3">
            <w:pPr>
              <w:spacing w:after="200"/>
              <w:ind w:left="400"/>
              <w:jc w:val="both"/>
            </w:pPr>
            <w:r>
              <w:t>Проводити контроль за недопущенням дебіторської і кредиторської заборгованості по бюджетних зобов'язаннях у 2019 та 2020 роках</w:t>
            </w: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D2A" w:rsidRDefault="00A758D3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31D2A" w:rsidRDefault="00F31D2A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7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t xml:space="preserve"> І.М. Чекаленко</w:t>
            </w:r>
          </w:p>
        </w:tc>
        <w:tc>
          <w:tcPr>
            <w:tcW w:w="132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8"/>
          </w:tcPr>
          <w:p w:rsidR="00F31D2A" w:rsidRDefault="00F31D2A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31D2A" w:rsidRDefault="00F31D2A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r>
              <w:t>Л.М. Шульгіна</w:t>
            </w:r>
          </w:p>
        </w:tc>
        <w:tc>
          <w:tcPr>
            <w:tcW w:w="132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  <w:tr w:rsidR="00F31D2A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</w:tcPr>
          <w:p w:rsidR="00F31D2A" w:rsidRDefault="00F31D2A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F31D2A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D2A" w:rsidRDefault="00A758D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31D2A" w:rsidRDefault="00F31D2A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31D2A" w:rsidRDefault="00F31D2A">
            <w:pPr>
              <w:pStyle w:val="EMPTYCELLSTYLE"/>
            </w:pPr>
          </w:p>
        </w:tc>
      </w:tr>
    </w:tbl>
    <w:p w:rsidR="00A758D3" w:rsidRDefault="00A758D3"/>
    <w:sectPr w:rsidR="00A758D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2A"/>
    <w:rsid w:val="00320212"/>
    <w:rsid w:val="00A758D3"/>
    <w:rsid w:val="00F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9F29-F848-4F4C-A809-A3ADAC3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2020-03-26T11:06:00Z</dcterms:created>
  <dcterms:modified xsi:type="dcterms:W3CDTF">2020-03-26T11:06:00Z</dcterms:modified>
</cp:coreProperties>
</file>