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F1" w:rsidRPr="000026F1" w:rsidRDefault="000026F1" w:rsidP="000026F1">
      <w:pPr>
        <w:pStyle w:val="2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026F1" w:rsidRPr="000026F1" w:rsidRDefault="000026F1" w:rsidP="000026F1">
      <w:pPr>
        <w:pStyle w:val="2"/>
        <w:spacing w:after="0" w:line="240" w:lineRule="auto"/>
        <w:ind w:left="4395" w:hanging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</w:t>
      </w:r>
      <w:r w:rsidRPr="000026F1">
        <w:rPr>
          <w:rFonts w:ascii="Times New Roman" w:hAnsi="Times New Roman"/>
          <w:sz w:val="28"/>
          <w:szCs w:val="28"/>
          <w:lang w:val="uk-UA"/>
        </w:rPr>
        <w:t xml:space="preserve">шення </w:t>
      </w:r>
      <w:proofErr w:type="spellStart"/>
      <w:r w:rsidRPr="000026F1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026F1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</w:p>
    <w:p w:rsidR="000026F1" w:rsidRPr="000026F1" w:rsidRDefault="000026F1" w:rsidP="000026F1">
      <w:pPr>
        <w:pStyle w:val="2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21.05.2020 року </w:t>
      </w:r>
      <w:r w:rsidRPr="000026F1">
        <w:rPr>
          <w:rFonts w:ascii="Times New Roman" w:hAnsi="Times New Roman"/>
          <w:sz w:val="28"/>
          <w:szCs w:val="28"/>
          <w:lang w:val="uk-UA"/>
        </w:rPr>
        <w:t>№ 46-1/</w:t>
      </w:r>
      <w:r w:rsidRPr="000026F1">
        <w:rPr>
          <w:rFonts w:ascii="Times New Roman" w:hAnsi="Times New Roman"/>
          <w:sz w:val="28"/>
          <w:szCs w:val="28"/>
          <w:lang w:val="en-US"/>
        </w:rPr>
        <w:t>VII</w:t>
      </w:r>
    </w:p>
    <w:bookmarkEnd w:id="0"/>
    <w:p w:rsidR="000026F1" w:rsidRPr="000026F1" w:rsidRDefault="000026F1" w:rsidP="000026F1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uppressAutoHyphens/>
        <w:spacing w:after="10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026F1">
        <w:rPr>
          <w:rFonts w:ascii="Times New Roman" w:hAnsi="Times New Roman" w:cs="Times New Roman"/>
          <w:b/>
          <w:sz w:val="28"/>
          <w:szCs w:val="28"/>
          <w:lang w:eastAsia="ar-SA"/>
        </w:rPr>
        <w:t>ПРОГРАМА</w:t>
      </w:r>
    </w:p>
    <w:p w:rsidR="000026F1" w:rsidRPr="000026F1" w:rsidRDefault="000026F1" w:rsidP="0000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6F1" w:rsidRDefault="000026F1" w:rsidP="000026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 xml:space="preserve">з метою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0026F1" w:rsidRDefault="000026F1" w:rsidP="000026F1">
      <w:pPr>
        <w:jc w:val="center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0026F1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об’єднаній територіальні громаді</w:t>
      </w:r>
      <w:r w:rsidRPr="000026F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</w:t>
      </w:r>
    </w:p>
    <w:p w:rsidR="000026F1" w:rsidRPr="000026F1" w:rsidRDefault="000026F1" w:rsidP="000026F1">
      <w:pPr>
        <w:jc w:val="center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6F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2020 </w:t>
      </w:r>
      <w:proofErr w:type="spellStart"/>
      <w:r w:rsidRPr="000026F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рік</w:t>
      </w:r>
      <w:proofErr w:type="spellEnd"/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pStyle w:val="a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026F1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:rsidR="000026F1" w:rsidRPr="000026F1" w:rsidRDefault="000026F1" w:rsidP="000026F1">
      <w:pPr>
        <w:pStyle w:val="a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026F1">
        <w:rPr>
          <w:rFonts w:ascii="Times New Roman" w:hAnsi="Times New Roman"/>
          <w:sz w:val="28"/>
          <w:szCs w:val="28"/>
          <w:lang w:val="uk-UA" w:eastAsia="ru-RU"/>
        </w:rPr>
        <w:t>2020 рік</w:t>
      </w:r>
    </w:p>
    <w:p w:rsidR="000026F1" w:rsidRPr="000026F1" w:rsidRDefault="000026F1" w:rsidP="000026F1">
      <w:pPr>
        <w:pStyle w:val="a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026F1" w:rsidRPr="000026F1" w:rsidRDefault="000026F1" w:rsidP="000026F1">
      <w:pPr>
        <w:tabs>
          <w:tab w:val="left" w:pos="915"/>
          <w:tab w:val="center" w:pos="471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6F1" w:rsidRPr="000026F1" w:rsidRDefault="000026F1" w:rsidP="000026F1">
      <w:pPr>
        <w:tabs>
          <w:tab w:val="left" w:pos="915"/>
          <w:tab w:val="center" w:pos="471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6F1">
        <w:rPr>
          <w:rFonts w:ascii="Times New Roman" w:hAnsi="Times New Roman" w:cs="Times New Roman"/>
          <w:bCs/>
          <w:sz w:val="28"/>
          <w:szCs w:val="28"/>
        </w:rPr>
        <w:t>ЗМІСТ</w:t>
      </w:r>
    </w:p>
    <w:p w:rsidR="000026F1" w:rsidRPr="000026F1" w:rsidRDefault="000026F1" w:rsidP="000026F1">
      <w:pPr>
        <w:tabs>
          <w:tab w:val="left" w:pos="915"/>
          <w:tab w:val="center" w:pos="471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Паспорт Програми………………………………………………………………...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spacing w:val="0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Розділ 1. Загальна частина……………………………………………….…….….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spacing w:val="0"/>
                <w:lang w:val="uk-UA"/>
              </w:rPr>
            </w:pPr>
            <w:r w:rsidRPr="000026F1">
              <w:rPr>
                <w:rFonts w:ascii="Times New Roman" w:hAnsi="Times New Roman" w:cs="Times New Roman"/>
                <w:spacing w:val="0"/>
                <w:lang w:val="uk-UA"/>
              </w:rPr>
              <w:t>4</w:t>
            </w:r>
          </w:p>
        </w:tc>
      </w:tr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spacing w:val="0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Розділ 2. Мета Програми……………………………………………………….....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iCs/>
                <w:sz w:val="28"/>
                <w:szCs w:val="28"/>
              </w:rPr>
              <w:t>Розділ</w:t>
            </w:r>
            <w:proofErr w:type="spellEnd"/>
            <w:r w:rsidRPr="00002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3. </w:t>
            </w:r>
            <w:proofErr w:type="spellStart"/>
            <w:r w:rsidRPr="000026F1">
              <w:rPr>
                <w:rFonts w:ascii="Times New Roman" w:hAnsi="Times New Roman" w:cs="Times New Roman"/>
                <w:iCs/>
                <w:sz w:val="28"/>
                <w:szCs w:val="28"/>
              </w:rPr>
              <w:t>Завдання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0026F1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0026F1">
              <w:rPr>
                <w:iCs/>
                <w:sz w:val="28"/>
                <w:szCs w:val="28"/>
                <w:lang w:val="uk-UA"/>
              </w:rPr>
              <w:t>Розділ 4.</w:t>
            </w:r>
            <w:r w:rsidRPr="000026F1">
              <w:rPr>
                <w:sz w:val="28"/>
                <w:szCs w:val="28"/>
                <w:lang w:val="uk-UA"/>
              </w:rPr>
              <w:t xml:space="preserve"> </w:t>
            </w:r>
            <w:r w:rsidRPr="000026F1">
              <w:rPr>
                <w:sz w:val="28"/>
                <w:szCs w:val="28"/>
                <w:lang w:val="uk-UA" w:eastAsia="ar-SA"/>
              </w:rPr>
              <w:t xml:space="preserve">Фінансове забезпечення </w:t>
            </w:r>
            <w:proofErr w:type="spellStart"/>
            <w:r w:rsidRPr="000026F1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 w:rsidRPr="000026F1">
              <w:rPr>
                <w:sz w:val="28"/>
                <w:szCs w:val="28"/>
                <w:lang w:val="uk-UA" w:eastAsia="ar-SA"/>
              </w:rPr>
              <w:t>…..</w:t>
            </w:r>
            <w:r w:rsidRPr="000026F1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Розділ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Очікувані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……………..………...….</w:t>
            </w:r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026F1" w:rsidRPr="000026F1" w:rsidTr="00EE6A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bCs/>
                <w:lang w:val="uk-UA"/>
              </w:rPr>
            </w:pPr>
            <w:r w:rsidRPr="000026F1">
              <w:rPr>
                <w:rFonts w:ascii="Times New Roman" w:hAnsi="Times New Roman" w:cs="Times New Roman"/>
                <w:bCs/>
                <w:lang w:val="uk-UA"/>
              </w:rPr>
              <w:t>Розділ 6. Контроль за виконанням Програми…….…...……………………….....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0026F1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221"/>
      </w:tblGrid>
      <w:tr w:rsidR="000026F1" w:rsidRPr="000026F1" w:rsidTr="000026F1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26F1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військово-лікарської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Степанківській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сільській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об’єднаній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громаді</w:t>
            </w:r>
            <w:proofErr w:type="spellEnd"/>
            <w:r w:rsidRPr="000026F1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на 2020 </w:t>
            </w:r>
            <w:proofErr w:type="spellStart"/>
            <w:r w:rsidRPr="000026F1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рік</w:t>
            </w:r>
            <w:proofErr w:type="spellEnd"/>
          </w:p>
        </w:tc>
      </w:tr>
      <w:tr w:rsidR="000026F1" w:rsidRPr="000026F1" w:rsidTr="000026F1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</w:tr>
      <w:tr w:rsidR="000026F1" w:rsidRPr="000026F1" w:rsidTr="000026F1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0026F1" w:rsidRPr="000026F1" w:rsidTr="000026F1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правова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Конституція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Закон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», Закон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військовий</w:t>
            </w:r>
            <w:proofErr w:type="spellEnd"/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обов'язок</w:t>
            </w:r>
            <w:proofErr w:type="spellEnd"/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0026F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службу», </w:t>
            </w: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оборони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військово-лікарську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експертизу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Силах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026F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6F1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14.08.2008  № 402</w:t>
            </w:r>
          </w:p>
        </w:tc>
      </w:tr>
      <w:tr w:rsidR="000026F1" w:rsidRPr="000026F1" w:rsidTr="000026F1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Відповідальні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виконавці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0026F1" w:rsidRPr="000026F1" w:rsidTr="000026F1">
        <w:trPr>
          <w:trHeight w:val="6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 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026F1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0026F1">
              <w:rPr>
                <w:sz w:val="28"/>
                <w:szCs w:val="28"/>
              </w:rPr>
              <w:t>роведення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військово-лікарської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експертизи</w:t>
            </w:r>
            <w:proofErr w:type="spellEnd"/>
            <w:r w:rsidRPr="000026F1">
              <w:rPr>
                <w:sz w:val="28"/>
                <w:szCs w:val="28"/>
              </w:rPr>
              <w:t xml:space="preserve"> та </w:t>
            </w:r>
            <w:proofErr w:type="spellStart"/>
            <w:r w:rsidRPr="000026F1">
              <w:rPr>
                <w:sz w:val="28"/>
                <w:szCs w:val="28"/>
              </w:rPr>
              <w:t>фінансове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забезпечення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медичних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працівників</w:t>
            </w:r>
            <w:proofErr w:type="spellEnd"/>
            <w:r w:rsidRPr="000026F1">
              <w:rPr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sz w:val="28"/>
                <w:szCs w:val="28"/>
              </w:rPr>
              <w:t>залучених</w:t>
            </w:r>
            <w:proofErr w:type="spellEnd"/>
            <w:r w:rsidRPr="000026F1">
              <w:rPr>
                <w:sz w:val="28"/>
                <w:szCs w:val="28"/>
              </w:rPr>
              <w:t xml:space="preserve"> до складу  </w:t>
            </w:r>
            <w:proofErr w:type="spellStart"/>
            <w:r w:rsidRPr="000026F1">
              <w:rPr>
                <w:sz w:val="28"/>
                <w:szCs w:val="28"/>
              </w:rPr>
              <w:t>медичної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комісії</w:t>
            </w:r>
            <w:proofErr w:type="spellEnd"/>
            <w:r w:rsidRPr="000026F1">
              <w:rPr>
                <w:sz w:val="28"/>
                <w:szCs w:val="28"/>
              </w:rPr>
              <w:t xml:space="preserve"> для </w:t>
            </w:r>
            <w:proofErr w:type="spellStart"/>
            <w:r w:rsidRPr="000026F1">
              <w:rPr>
                <w:sz w:val="28"/>
                <w:szCs w:val="28"/>
              </w:rPr>
              <w:t>проведення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медичного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огляду</w:t>
            </w:r>
            <w:proofErr w:type="spellEnd"/>
            <w:r w:rsidRPr="000026F1">
              <w:rPr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sz w:val="28"/>
                <w:szCs w:val="28"/>
              </w:rPr>
              <w:t>призовників</w:t>
            </w:r>
            <w:proofErr w:type="spellEnd"/>
            <w:r w:rsidRPr="000026F1">
              <w:rPr>
                <w:sz w:val="28"/>
                <w:szCs w:val="28"/>
              </w:rPr>
              <w:t xml:space="preserve"> та </w:t>
            </w:r>
            <w:proofErr w:type="spellStart"/>
            <w:r w:rsidRPr="000026F1">
              <w:rPr>
                <w:sz w:val="28"/>
                <w:szCs w:val="28"/>
              </w:rPr>
              <w:t>військовозобов’язаних</w:t>
            </w:r>
            <w:proofErr w:type="spellEnd"/>
          </w:p>
        </w:tc>
      </w:tr>
      <w:tr w:rsidR="000026F1" w:rsidRPr="000026F1" w:rsidTr="000026F1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Термін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</w:tr>
      <w:tr w:rsidR="000026F1" w:rsidRPr="000026F1" w:rsidTr="000026F1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Фінансування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за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рахунок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коштів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бюджету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Степанківської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сільської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об’єднаної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територіальної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громади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інших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джерел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незаборонених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чинним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0026F1" w:rsidRPr="000026F1" w:rsidTr="000026F1">
        <w:trPr>
          <w:trHeight w:val="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tabs>
                <w:tab w:val="left" w:pos="935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Очікувані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результати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виконання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військовослужбовців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військовозобов’язаних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резервістів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за станом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службу за контрактом </w:t>
            </w:r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лікування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лікувально-профілактичних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закладах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зазначеної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вище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категорії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громадян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рішеннями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медичної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визнано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тимчасово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непридатними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військової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6F1" w:rsidRPr="000026F1" w:rsidTr="000026F1">
        <w:trPr>
          <w:trHeight w:val="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tabs>
                <w:tab w:val="left" w:pos="935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Контроль за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виконанням</w:t>
            </w:r>
            <w:proofErr w:type="spellEnd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Програми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26F1" w:rsidRPr="000026F1" w:rsidRDefault="000026F1" w:rsidP="000026F1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голова,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постійні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бюджету,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планування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законності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депутатської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регламенту та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</w:tbl>
    <w:p w:rsid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з метою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Степанківській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сільській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об’єднаній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» на 2020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>І. ЗАГАЛЬНА ЧАСТИНА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Степанківській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об’єднаній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» на 2020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службу»,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військово-лікарську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14.08.2008 № 402 (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Військова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служба є державною службою особливого характеру, яка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полягає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професійній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придатних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неї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станом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віком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резервістів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службу за контрактом </w:t>
      </w:r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лікувально-профілактичних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зазначеної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вище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рішеннями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медичної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визнано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тимчасово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непридатними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військової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  <w:r w:rsidRPr="000026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Військово-лікарська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допризовників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запасу,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призиваються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службу,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резервістів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службу за контрактом,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військово-навчальних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закладах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позаштатних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медикаментами,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господарським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канцелярським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lastRenderedPageBreak/>
        <w:t>приладдям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лікувально-профілактичні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05.06.2019 №36-9/VII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перетворена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некомерційне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ради. З 01.04.2020 року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6F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бюджету за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0026F1">
        <w:rPr>
          <w:rFonts w:ascii="Times New Roman" w:hAnsi="Times New Roman" w:cs="Times New Roman"/>
          <w:sz w:val="28"/>
          <w:szCs w:val="28"/>
        </w:rPr>
        <w:t xml:space="preserve">складу 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Черкаському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об’єднаному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військовому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комісаріаті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F1" w:rsidRPr="000026F1" w:rsidRDefault="000026F1" w:rsidP="00002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tabs>
          <w:tab w:val="left" w:pos="41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ab/>
      </w: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>ІІ. МЕТА ПРОГРАМИ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ab/>
        <w:t xml:space="preserve">Метою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0026F1">
        <w:rPr>
          <w:rFonts w:ascii="Times New Roman" w:hAnsi="Times New Roman" w:cs="Times New Roman"/>
          <w:sz w:val="28"/>
          <w:szCs w:val="28"/>
        </w:rPr>
        <w:t xml:space="preserve">складу 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>ІІІ.</w:t>
      </w:r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b/>
          <w:sz w:val="28"/>
          <w:szCs w:val="28"/>
        </w:rPr>
        <w:t>ЗАВДАННЯ ПРОГРАМИ</w:t>
      </w:r>
    </w:p>
    <w:p w:rsidR="000026F1" w:rsidRPr="000026F1" w:rsidRDefault="000026F1" w:rsidP="00002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завданнь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: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>-</w:t>
      </w:r>
      <w:r w:rsidRPr="00002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роботу по призову з метою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;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>-</w:t>
      </w:r>
      <w:r w:rsidRPr="000026F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026F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вчасного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диспансерного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призовної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допризовної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резервістів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і т.д.;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>-</w:t>
      </w:r>
      <w:r w:rsidRPr="00002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обстежувати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допризовників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0026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26F1">
        <w:rPr>
          <w:rFonts w:ascii="Times New Roman" w:hAnsi="Times New Roman" w:cs="Times New Roman"/>
          <w:b/>
          <w:sz w:val="28"/>
          <w:szCs w:val="28"/>
        </w:rPr>
        <w:t>. ФІНАНСОВЕ ЗАБЕЗПЕЧЕННЯ ПРОГРАМИ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6F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 бюджету</w:t>
      </w:r>
      <w:proofErr w:type="gram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незаборонених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ab/>
      </w: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26F1">
        <w:rPr>
          <w:rFonts w:ascii="Times New Roman" w:hAnsi="Times New Roman" w:cs="Times New Roman"/>
          <w:b/>
          <w:sz w:val="28"/>
          <w:szCs w:val="28"/>
        </w:rPr>
        <w:t>. ОЧІКУВАНІ РЕЗУЛЬТАТИ</w:t>
      </w:r>
    </w:p>
    <w:p w:rsidR="000026F1" w:rsidRPr="000026F1" w:rsidRDefault="000026F1" w:rsidP="000026F1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Очікується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резервістів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службу за контрактом </w:t>
      </w:r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лікувально-профілактичних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зазначеної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вище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рішеннями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медичної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визнано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тимчасово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непридатними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військової</w:t>
      </w:r>
      <w:proofErr w:type="spellEnd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.</w:t>
      </w:r>
    </w:p>
    <w:p w:rsidR="000026F1" w:rsidRPr="000026F1" w:rsidRDefault="000026F1" w:rsidP="000026F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26F1">
        <w:rPr>
          <w:rFonts w:ascii="Times New Roman" w:hAnsi="Times New Roman" w:cs="Times New Roman"/>
          <w:b/>
          <w:sz w:val="28"/>
          <w:szCs w:val="28"/>
        </w:rPr>
        <w:t>І. КОНТРОЛЬ ЗА ВИКОНАННЯМ ПРОГРАМИ</w:t>
      </w:r>
    </w:p>
    <w:p w:rsidR="000026F1" w:rsidRDefault="000026F1" w:rsidP="00002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026F1" w:rsidRPr="000026F1" w:rsidRDefault="000026F1" w:rsidP="00002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Pr="000026F1" w:rsidRDefault="000026F1" w:rsidP="0000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НЕВГОД</w:t>
      </w: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26F1" w:rsidRPr="000026F1" w:rsidRDefault="000026F1" w:rsidP="000026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F1"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військово-лікарської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експертизи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з метою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придатності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військової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Степанківській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сільській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об’єднаній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 w:rsidRPr="000026F1">
        <w:rPr>
          <w:rFonts w:ascii="Times New Roman" w:hAnsi="Times New Roman" w:cs="Times New Roman"/>
          <w:b/>
          <w:sz w:val="28"/>
          <w:szCs w:val="28"/>
        </w:rPr>
        <w:t xml:space="preserve">» на 2020 </w:t>
      </w:r>
      <w:proofErr w:type="spellStart"/>
      <w:r w:rsidRPr="000026F1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0026F1" w:rsidRPr="000026F1" w:rsidRDefault="000026F1" w:rsidP="00002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684"/>
        <w:gridCol w:w="1561"/>
        <w:gridCol w:w="3124"/>
      </w:tblGrid>
      <w:tr w:rsidR="000026F1" w:rsidRPr="000026F1" w:rsidTr="00EE6A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заходу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proofErr w:type="spellEnd"/>
          </w:p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0026F1" w:rsidRPr="000026F1" w:rsidTr="00EE6A44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</w:p>
        </w:tc>
      </w:tr>
      <w:tr w:rsidR="000026F1" w:rsidRPr="000026F1" w:rsidTr="00EE6A4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Субвенція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районному бюджету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Черкаського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оглядів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військовозобов’язаних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призовників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допризовників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призовників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військовозобов’язаних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офіцерів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запасу,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призиваються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службу,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резервістів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приймаються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службу за контрактом,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військово-навчальних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та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підрозділах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оборони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жителів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проводитимуться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КНП «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Черкаська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До 31.12.2020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1" w:rsidRPr="000026F1" w:rsidRDefault="000026F1" w:rsidP="00002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6F1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</w:tr>
    </w:tbl>
    <w:p w:rsidR="000026F1" w:rsidRPr="000026F1" w:rsidRDefault="000026F1" w:rsidP="0000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6F1" w:rsidRPr="000026F1" w:rsidRDefault="000026F1" w:rsidP="0000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026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НЕВГОД</w:t>
      </w:r>
    </w:p>
    <w:p w:rsidR="000026F1" w:rsidRPr="000026F1" w:rsidRDefault="000026F1" w:rsidP="0000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6F1" w:rsidRPr="000026F1" w:rsidRDefault="000026F1" w:rsidP="00002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26F1" w:rsidRPr="0000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8"/>
    <w:rsid w:val="000026F1"/>
    <w:rsid w:val="002B48CC"/>
    <w:rsid w:val="002D5178"/>
    <w:rsid w:val="006C6B44"/>
    <w:rsid w:val="007504C0"/>
    <w:rsid w:val="007C2CE4"/>
    <w:rsid w:val="00C47148"/>
    <w:rsid w:val="00CD65CE"/>
    <w:rsid w:val="00F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30972-520E-4E43-A778-A713CC2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813,baiaagaaboqcaaaduwqbaavhbaeaaaaaaaaaaaaaaaaaaaaaaaaaaaaaaaaaaaaaaaaaaaaaaaaaaaaaaaaaaaaaaaaaaaaaaaaaaaaaaaaaaaaaaaaaaaaaaaaaaaaaaaaaaaaaaaaaaaaaaaaaaaaaaaaaaaaaaaaaaaaaaaaaaaaaaaaaaaaaaaaaaaaaaaaaaaaaaaaaaaaaaaaaaaaaaaaaaaaaaaaaaaa"/>
    <w:basedOn w:val="a"/>
    <w:rsid w:val="007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7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C0"/>
    <w:rPr>
      <w:rFonts w:ascii="Tahoma" w:hAnsi="Tahoma" w:cs="Tahoma"/>
      <w:sz w:val="16"/>
      <w:szCs w:val="16"/>
    </w:rPr>
  </w:style>
  <w:style w:type="character" w:customStyle="1" w:styleId="1">
    <w:name w:val="Оглавление 1 Знак"/>
    <w:link w:val="10"/>
    <w:locked/>
    <w:rsid w:val="007C2CE4"/>
    <w:rPr>
      <w:spacing w:val="-6"/>
      <w:sz w:val="28"/>
      <w:szCs w:val="28"/>
      <w:lang w:val="x-none"/>
    </w:rPr>
  </w:style>
  <w:style w:type="paragraph" w:styleId="10">
    <w:name w:val="toc 1"/>
    <w:basedOn w:val="a"/>
    <w:next w:val="a"/>
    <w:link w:val="1"/>
    <w:autoRedefine/>
    <w:unhideWhenUsed/>
    <w:rsid w:val="007C2CE4"/>
    <w:pPr>
      <w:tabs>
        <w:tab w:val="right" w:leader="dot" w:pos="9356"/>
      </w:tabs>
      <w:spacing w:after="0" w:line="240" w:lineRule="auto"/>
      <w:jc w:val="both"/>
      <w:outlineLvl w:val="1"/>
    </w:pPr>
    <w:rPr>
      <w:spacing w:val="-6"/>
      <w:sz w:val="28"/>
      <w:szCs w:val="28"/>
      <w:lang w:val="x-none"/>
    </w:rPr>
  </w:style>
  <w:style w:type="paragraph" w:styleId="a6">
    <w:name w:val="Body Text Indent"/>
    <w:basedOn w:val="a"/>
    <w:link w:val="a7"/>
    <w:semiHidden/>
    <w:unhideWhenUsed/>
    <w:rsid w:val="007C2CE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2CE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7C2CE4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C2CE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 Spacing"/>
    <w:qFormat/>
    <w:rsid w:val="007C2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rsid w:val="007C2CE4"/>
  </w:style>
  <w:style w:type="character" w:customStyle="1" w:styleId="rvts0">
    <w:name w:val="rvts0"/>
    <w:rsid w:val="007C2CE4"/>
  </w:style>
  <w:style w:type="character" w:customStyle="1" w:styleId="rvts9">
    <w:name w:val="rvts9"/>
    <w:rsid w:val="007C2CE4"/>
  </w:style>
  <w:style w:type="character" w:styleId="a9">
    <w:name w:val="Strong"/>
    <w:basedOn w:val="a0"/>
    <w:qFormat/>
    <w:rsid w:val="007C2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9</cp:revision>
  <cp:lastPrinted>2020-06-06T11:23:00Z</cp:lastPrinted>
  <dcterms:created xsi:type="dcterms:W3CDTF">2020-05-21T07:46:00Z</dcterms:created>
  <dcterms:modified xsi:type="dcterms:W3CDTF">2020-06-17T07:37:00Z</dcterms:modified>
</cp:coreProperties>
</file>