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6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5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сорок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грн. 00 коп. ( 20665648 грн.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BC05AD" w:rsidRDefault="00E73DD5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82019F" w:rsidP="0082019F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E73DD5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82019F">
        <w:trPr>
          <w:trHeight w:hRule="exact" w:val="646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BC05AD"/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752D19">
        <w:trPr>
          <w:trHeight w:hRule="exact" w:val="9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 w:rsidP="00752D19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0211020 -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  <w:p w:rsidR="00752D19" w:rsidRPr="00752D19" w:rsidRDefault="003E6300" w:rsidP="00752D1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Хацьківська</w:t>
            </w:r>
            <w:proofErr w:type="spellEnd"/>
            <w:r w:rsidR="00752D19" w:rsidRPr="00752D19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752D19" w:rsidRDefault="009B71E0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10087563</w:t>
            </w:r>
            <w:r w:rsidR="00752D19" w:rsidRPr="00752D19">
              <w:rPr>
                <w:b/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F140C7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191162</w:t>
            </w:r>
            <w:r w:rsidR="00DE627A">
              <w:rPr>
                <w:b/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F140C7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10278725,00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752D19" w:rsidRDefault="009B71E0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10087563</w:t>
            </w:r>
            <w:r w:rsidR="00752D19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Pr="00DE627A" w:rsidRDefault="00F140C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10087563,00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191162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191162,00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6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752D19">
        <w:trPr>
          <w:trHeight w:hRule="exact" w:val="402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752D19" w:rsidRDefault="00DE627A" w:rsidP="00DE627A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бюджетні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установи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підприємств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організацій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установ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виконання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цільових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, у тому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числі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з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відчуження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суспільних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потреб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земельних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ділянок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розміщених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на них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об`єктів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нерухомого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майна,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перебувають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у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приватній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власності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або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юридичних</w:t>
            </w:r>
            <w:proofErr w:type="spellEnd"/>
            <w:r w:rsidRPr="00752D1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752D19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748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695EDE" w:rsidRDefault="00DE627A" w:rsidP="00DE627A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C352E0" w:rsidRDefault="00DE627A" w:rsidP="00DE627A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Pr="00C352E0" w:rsidRDefault="00DE627A" w:rsidP="00DE6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695EDE" w:rsidRDefault="00F140C7" w:rsidP="00DE627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13267</w:t>
            </w:r>
            <w:r w:rsidR="00DE627A">
              <w:rPr>
                <w:sz w:val="18"/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695EDE" w:rsidRDefault="00F140C7" w:rsidP="00DE627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13267</w:t>
            </w:r>
            <w:r w:rsidR="00DE627A">
              <w:rPr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0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10087563</w:t>
            </w:r>
            <w:r w:rsidR="00DE627A">
              <w:rPr>
                <w:b/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191162</w:t>
            </w:r>
            <w:r w:rsidR="00DE627A">
              <w:rPr>
                <w:b/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C3516" w:rsidP="00DE627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102787</w:t>
            </w:r>
            <w:r w:rsidR="00F140C7">
              <w:rPr>
                <w:b/>
                <w:lang w:val="uk-UA"/>
              </w:rPr>
              <w:t>25</w:t>
            </w:r>
            <w:r w:rsidR="00DE627A">
              <w:rPr>
                <w:b/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10087563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C3516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102654</w:t>
            </w:r>
            <w:bookmarkStart w:id="0" w:name="_GoBack"/>
            <w:bookmarkEnd w:id="0"/>
            <w:r w:rsidR="00F140C7">
              <w:rPr>
                <w:lang w:val="uk-UA"/>
              </w:rPr>
              <w:t>58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6947428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6947428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1501383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1501383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153046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F140C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153046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3890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3890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473318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177895,00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651213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73300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C3516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733</w:t>
            </w:r>
            <w:r w:rsidR="00DE627A">
              <w:rPr>
                <w:lang w:val="uk-UA"/>
              </w:rPr>
              <w:t>0</w:t>
            </w:r>
            <w:r w:rsidR="00F140C7">
              <w:rPr>
                <w:lang w:val="uk-UA"/>
              </w:rPr>
              <w:t>0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126000,00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126000,00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731458,00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731458,00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29400,00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29400,00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F140C7" w:rsidP="00F140C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12240,00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DE627A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12240,00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13267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13267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DE627A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13267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Pr="00752D19" w:rsidRDefault="009B71E0" w:rsidP="00DE627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13267</w:t>
            </w:r>
            <w:r w:rsidR="00DE627A">
              <w:rPr>
                <w:lang w:val="uk-UA"/>
              </w:rPr>
              <w:t>,00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3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2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4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t>М.П.***</w:t>
            </w: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6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27A" w:rsidRDefault="00DE627A" w:rsidP="00DE627A">
            <w:pPr>
              <w:jc w:val="center"/>
            </w:pPr>
          </w:p>
        </w:tc>
        <w:tc>
          <w:tcPr>
            <w:tcW w:w="180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8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6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32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280" w:type="dxa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28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  <w:tr w:rsidR="00DE627A" w:rsidTr="00695EDE">
        <w:trPr>
          <w:trHeight w:hRule="exact" w:val="400"/>
        </w:trPr>
        <w:tc>
          <w:tcPr>
            <w:tcW w:w="500" w:type="dxa"/>
            <w:gridSpan w:val="2"/>
          </w:tcPr>
          <w:p w:rsidR="00DE627A" w:rsidRDefault="00DE627A" w:rsidP="00DE627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27A" w:rsidRDefault="00DE627A" w:rsidP="00DE627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DE627A" w:rsidRDefault="00DE627A" w:rsidP="00DE627A">
            <w:pPr>
              <w:pStyle w:val="EMPTYCELLSTYLE"/>
            </w:pPr>
          </w:p>
        </w:tc>
      </w:tr>
    </w:tbl>
    <w:p w:rsidR="00F04EB2" w:rsidRDefault="00F04EB2"/>
    <w:sectPr w:rsidR="00F04EB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D"/>
    <w:rsid w:val="003E6300"/>
    <w:rsid w:val="00695EDE"/>
    <w:rsid w:val="00752D19"/>
    <w:rsid w:val="0082019F"/>
    <w:rsid w:val="00837AFE"/>
    <w:rsid w:val="009B71E0"/>
    <w:rsid w:val="00BC05AD"/>
    <w:rsid w:val="00C92DA8"/>
    <w:rsid w:val="00DE627A"/>
    <w:rsid w:val="00E73DD5"/>
    <w:rsid w:val="00F0463D"/>
    <w:rsid w:val="00F04EB2"/>
    <w:rsid w:val="00F140C7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D029"/>
  <w15:docId w15:val="{1E15FE58-5B89-4688-BBE1-DEEF9A0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37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6</cp:revision>
  <cp:lastPrinted>2020-01-21T18:23:00Z</cp:lastPrinted>
  <dcterms:created xsi:type="dcterms:W3CDTF">2020-01-21T18:24:00Z</dcterms:created>
  <dcterms:modified xsi:type="dcterms:W3CDTF">2020-01-21T18:39:00Z</dcterms:modified>
</cp:coreProperties>
</file>