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D1" w:rsidRPr="002E1C88" w:rsidRDefault="00665601" w:rsidP="002E1C88">
      <w:pPr>
        <w:tabs>
          <w:tab w:val="center" w:pos="792"/>
          <w:tab w:val="center" w:pos="6572"/>
        </w:tabs>
        <w:spacing w:after="0" w:line="240" w:lineRule="auto"/>
        <w:jc w:val="center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</w:p>
    <w:p w:rsidR="007539D6" w:rsidRDefault="007539D6" w:rsidP="002E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539D6" w:rsidTr="000B66D6">
        <w:trPr>
          <w:trHeight w:val="484"/>
        </w:trPr>
        <w:tc>
          <w:tcPr>
            <w:tcW w:w="10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9D6" w:rsidRPr="007539D6" w:rsidRDefault="000B66D6" w:rsidP="006E5E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 w:color="00000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КПКВКМБ 0213210</w:t>
            </w:r>
            <w:r w:rsidR="00C00E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громадських робіт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BF20D1" w:rsidRPr="002E1C88" w:rsidRDefault="00665601" w:rsidP="007539D6">
      <w:pPr>
        <w:spacing w:after="0" w:line="240" w:lineRule="auto"/>
        <w:jc w:val="center"/>
        <w:rPr>
          <w:sz w:val="28"/>
          <w:szCs w:val="28"/>
        </w:rPr>
      </w:pPr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(КПКВК,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найменування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)</w:t>
      </w:r>
    </w:p>
    <w:p w:rsidR="00BF20D1" w:rsidRDefault="00D31CD5" w:rsidP="00943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943AEC">
        <w:rPr>
          <w:rFonts w:ascii="Times New Roman" w:eastAsia="Times New Roman" w:hAnsi="Times New Roman" w:cs="Times New Roman"/>
          <w:b/>
          <w:sz w:val="28"/>
          <w:szCs w:val="28"/>
        </w:rPr>
        <w:t xml:space="preserve"> 2019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році</w:t>
      </w:r>
    </w:p>
    <w:p w:rsidR="00943AEC" w:rsidRPr="002E1C88" w:rsidRDefault="00943AEC" w:rsidP="00943AEC">
      <w:pPr>
        <w:spacing w:after="0" w:line="240" w:lineRule="auto"/>
        <w:jc w:val="center"/>
        <w:rPr>
          <w:sz w:val="28"/>
          <w:szCs w:val="28"/>
        </w:rPr>
      </w:pPr>
    </w:p>
    <w:p w:rsidR="00BF20D1" w:rsidRPr="002E1C88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дії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охоплений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гендерним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аналізом</w:t>
      </w:r>
      <w:proofErr w:type="spellEnd"/>
      <w:r w:rsidR="003137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6ED7" w:rsidRDefault="00396ED7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F20D1" w:rsidRDefault="0031377B" w:rsidP="00C971FD">
      <w:pPr>
        <w:spacing w:after="0" w:line="240" w:lineRule="auto"/>
        <w:ind w:left="-1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Гендерний аналіз бюджетної програми</w:t>
      </w:r>
      <w:r w:rsidRPr="003137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19C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</w:t>
      </w:r>
      <w:r w:rsidR="003119C2">
        <w:rPr>
          <w:rFonts w:ascii="Times New Roman" w:hAnsi="Times New Roman" w:cs="Times New Roman"/>
          <w:sz w:val="28"/>
          <w:szCs w:val="28"/>
          <w:lang w:val="uk-UA"/>
        </w:rPr>
        <w:t>біт</w:t>
      </w:r>
      <w:r>
        <w:rPr>
          <w:rFonts w:ascii="Times New Roman" w:hAnsi="Times New Roman" w:cs="Times New Roman"/>
          <w:sz w:val="28"/>
          <w:szCs w:val="28"/>
          <w:lang w:val="uk-UA"/>
        </w:rPr>
        <w:t>» проведений за період з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96ED7">
        <w:rPr>
          <w:rFonts w:ascii="Times New Roman" w:eastAsia="Times New Roman" w:hAnsi="Times New Roman" w:cs="Times New Roman"/>
          <w:sz w:val="28"/>
          <w:szCs w:val="28"/>
          <w:lang w:val="uk-UA"/>
        </w:rPr>
        <w:t>01.01.2019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Pr="0031377B">
        <w:rPr>
          <w:rFonts w:ascii="Times New Roman" w:eastAsia="Times New Roman" w:hAnsi="Times New Roman" w:cs="Times New Roman"/>
          <w:sz w:val="28"/>
          <w:szCs w:val="28"/>
          <w:lang w:val="uk-UA"/>
        </w:rPr>
        <w:t>31.12.2019 р.</w:t>
      </w:r>
    </w:p>
    <w:p w:rsidR="00396ED7" w:rsidRPr="0031377B" w:rsidRDefault="00396ED7" w:rsidP="00C971FD">
      <w:pPr>
        <w:spacing w:after="0" w:line="240" w:lineRule="auto"/>
        <w:ind w:left="-11" w:firstLine="567"/>
        <w:jc w:val="both"/>
        <w:rPr>
          <w:sz w:val="28"/>
          <w:szCs w:val="28"/>
          <w:lang w:val="uk-UA"/>
        </w:rPr>
      </w:pPr>
    </w:p>
    <w:p w:rsidR="00396ED7" w:rsidRPr="00396ED7" w:rsidRDefault="00665601" w:rsidP="002E1C88">
      <w:pPr>
        <w:numPr>
          <w:ilvl w:val="0"/>
          <w:numId w:val="1"/>
        </w:numPr>
        <w:spacing w:after="0" w:line="240" w:lineRule="auto"/>
        <w:ind w:left="0" w:hanging="240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Перелік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надаються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межах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цільові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надавачів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отримувачів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державних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послуг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(в тому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числі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потенційні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396E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396ED7" w:rsidRDefault="00396ED7" w:rsidP="00396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9C2" w:rsidRDefault="00870C3A" w:rsidP="0031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Бюджетна програма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119C2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="00F53F5D">
        <w:rPr>
          <w:rFonts w:ascii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відноситьс</w:t>
      </w:r>
      <w:r w:rsidR="00DB772F">
        <w:rPr>
          <w:rFonts w:ascii="Times New Roman" w:hAnsi="Times New Roman" w:cs="Times New Roman"/>
          <w:sz w:val="28"/>
          <w:szCs w:val="28"/>
          <w:lang w:val="uk-UA"/>
        </w:rPr>
        <w:t>я до галузі «Соціальний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A6D5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74E3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</w:t>
      </w:r>
      <w:r w:rsidR="00B80EE6" w:rsidRPr="00B80EE6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надання послуги</w:t>
      </w:r>
      <w:r w:rsidR="00B80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C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0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C2">
        <w:rPr>
          <w:rFonts w:ascii="Times New Roman" w:hAnsi="Times New Roman" w:cs="Times New Roman"/>
          <w:sz w:val="28"/>
          <w:szCs w:val="28"/>
          <w:lang w:val="uk-UA"/>
        </w:rPr>
        <w:t>організації та проведення громадських робіт</w:t>
      </w:r>
      <w:r w:rsidR="00C86A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95D1A" w:rsidRDefault="00871BE8" w:rsidP="00311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 здійснюється відповідно до статті 31 Закону України «Про зайнятість населення»: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040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n276"/>
      <w:bookmarkEnd w:id="0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є видом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суспільно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корисних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оплачуваних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інтересах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громади,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організовуються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осіб і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виконуються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ними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добровільних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n277"/>
      <w:bookmarkEnd w:id="1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потребам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певної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громади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задовольняють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суспільні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громад,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організовуються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місцевими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адміністраціями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комітетами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рад за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участю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територіальних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органу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виконавчої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влади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реалізує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політику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трудової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міграції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договірних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засадах.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n278"/>
      <w:bookmarkEnd w:id="2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proofErr w:type="spellStart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громадських</w:t>
      </w:r>
      <w:proofErr w:type="spellEnd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інших</w:t>
      </w:r>
      <w:proofErr w:type="spellEnd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тимчасового</w:t>
      </w:r>
      <w:proofErr w:type="spellEnd"/>
      <w:r w:rsidRPr="00BF40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характеру</w:t>
      </w:r>
      <w:r w:rsidRPr="007F54B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n279"/>
      <w:bookmarkEnd w:id="3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визначаються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місцевими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державними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адміністраціями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виконавчими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комітетами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сільських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селищних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рад за такими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критеріями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n280"/>
      <w:bookmarkEnd w:id="4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тимчасовий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 і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постійні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вакансії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281"/>
      <w:bookmarkEnd w:id="5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виконуватися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неповного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дня;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n282"/>
      <w:bookmarkEnd w:id="6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економічну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соціальну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екологічну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регіону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n283"/>
      <w:bookmarkEnd w:id="7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працевлаштування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додаткової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спеціальної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освітньої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кваліфікаційної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n284"/>
      <w:bookmarkEnd w:id="8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4. З особами,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роботах,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укладаються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54BE">
        <w:rPr>
          <w:rFonts w:ascii="Times New Roman" w:eastAsia="Times New Roman" w:hAnsi="Times New Roman" w:cs="Times New Roman"/>
          <w:sz w:val="28"/>
          <w:szCs w:val="28"/>
        </w:rPr>
        <w:t>на строк</w:t>
      </w:r>
      <w:proofErr w:type="gram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сумарно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180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строкові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трудові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договори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працевлаштування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створені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n285"/>
      <w:bookmarkEnd w:id="9"/>
      <w:r w:rsidRPr="007F5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На осіб,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роботах,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поширюються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державні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соціальні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гарантії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передбачені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загальнообов'язкове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державне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соціальне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n286"/>
      <w:bookmarkEnd w:id="10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таких осіб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фактично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виконану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розмірі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меншим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ніж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мінімальний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розмір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плати,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положень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угоди.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n287"/>
      <w:bookmarkEnd w:id="11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роботодавців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n288"/>
      <w:bookmarkEnd w:id="12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зареєстрованих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загальнообов'язкового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безробіття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n771"/>
      <w:bookmarkStart w:id="14" w:name="n289"/>
      <w:bookmarkEnd w:id="13"/>
      <w:bookmarkEnd w:id="14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втрати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плати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вимушеного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50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відсотків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передбаченої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часу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зупиненням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скороченням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право без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припинення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відносин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роботах, у тому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тих,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оплачуються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Фонду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загальнообов'язкового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соціального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страхування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випадок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безробіття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F54BE">
        <w:rPr>
          <w:rFonts w:ascii="Times New Roman" w:eastAsia="Times New Roman" w:hAnsi="Times New Roman" w:cs="Times New Roman"/>
          <w:sz w:val="28"/>
          <w:szCs w:val="28"/>
        </w:rPr>
        <w:t>у межах</w:t>
      </w:r>
      <w:proofErr w:type="gram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строку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зупинення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n290"/>
      <w:bookmarkEnd w:id="15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8.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додаткового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матеріальної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осіб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роботодавцями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організовуються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строком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шести місяців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носять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тимчасовий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характер. Для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використані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постійні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вакансії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n291"/>
      <w:bookmarkEnd w:id="16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безробітними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залучаються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уклад</w:t>
      </w:r>
      <w:r>
        <w:rPr>
          <w:rFonts w:ascii="Times New Roman" w:eastAsia="Times New Roman" w:hAnsi="Times New Roman" w:cs="Times New Roman"/>
          <w:sz w:val="28"/>
          <w:szCs w:val="28"/>
        </w:rPr>
        <w:t>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трудові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строк</w:t>
      </w:r>
      <w:proofErr w:type="gram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сумарно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року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перевищувати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180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календарних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n292"/>
      <w:bookmarkEnd w:id="17"/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за рахунок коштів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роботодавців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заборонених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7F54BE" w:rsidRDefault="00BF4040" w:rsidP="00BF4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n293"/>
      <w:bookmarkEnd w:id="18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Безробітним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брали участь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виконанні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таких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продовжується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виплата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допомоги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безробіттю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розмірах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і в строки,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040" w:rsidRPr="00BF4040" w:rsidRDefault="00BF4040" w:rsidP="00BF40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n294"/>
      <w:bookmarkEnd w:id="19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10. Порядок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громадських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затверджує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Кабінет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 w:rsidRPr="007F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F54BE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BF40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FE7F94" w:rsidRDefault="00EE7753" w:rsidP="00FE7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організації громадських та інших робіт тимчасового характеру затверджений Постановою Кабінету Міністрів України від 20 березня 2013 р. № 175 зі змінами.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0E1022" w:rsidRPr="009756DF" w:rsidTr="00D66ED4">
        <w:tc>
          <w:tcPr>
            <w:tcW w:w="10065" w:type="dxa"/>
            <w:gridSpan w:val="2"/>
          </w:tcPr>
          <w:p w:rsidR="00EE7753" w:rsidRDefault="00EE7753" w:rsidP="00E203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</w:t>
            </w:r>
            <w:r w:rsidR="00771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громадських робіт здійснюється на підставі договору про організацію громадських робіт та фінансування їх організацій, який укладається між територіальним органом – Черкаським районним центром зайнятості та </w:t>
            </w:r>
            <w:r w:rsidR="00771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комітетом Степанківської сільської ради</w:t>
            </w:r>
            <w:r w:rsidR="008B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7FF2" w:rsidRDefault="009F710B" w:rsidP="00E203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Фінансування </w:t>
            </w:r>
            <w:r w:rsidR="008B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та проведення громадських робіт, до яких залучаються </w:t>
            </w:r>
            <w:r w:rsidR="00981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зареєстровані безробітні та/або працівники, які втратили частину заробітної плати,</w:t>
            </w:r>
            <w:r w:rsidR="00971B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Степанківської сільської об’єднаної територіально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громади здійснюється Виконавчим комітето</w:t>
            </w:r>
            <w:r w:rsidR="008B78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Степанківської сільської ради </w:t>
            </w:r>
            <w:r w:rsidR="00981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Черкаським районним центром зайнятості за рахунок </w:t>
            </w:r>
            <w:r w:rsidR="008075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коштів бюджету Степанківської сільської об’єднаної територіальної громади та/або коштів Фонду загальнообов’язкового державного соціального страхування на випадок безробіття.</w:t>
            </w:r>
          </w:p>
          <w:p w:rsidR="008075EF" w:rsidRDefault="008075EF" w:rsidP="00E203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F8F" w:rsidRPr="00E20344" w:rsidRDefault="00D535A9" w:rsidP="00E2034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Виконавчим комітетом Степанківської сільської ради</w:t>
            </w:r>
            <w:r w:rsidR="00E20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 року</w:t>
            </w:r>
            <w:r w:rsidR="00E20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громадські роботи приймалось</w:t>
            </w:r>
            <w:r w:rsidR="00B017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="00E20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осіб.</w:t>
            </w:r>
            <w:r w:rsidR="00B01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 тому числі чоловіків – 8</w:t>
            </w:r>
            <w:r w:rsidR="00CB40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  <w:r w:rsidR="00E203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жінок – </w:t>
            </w:r>
            <w:r w:rsidR="00CB40E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203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осіб.</w:t>
            </w:r>
          </w:p>
          <w:tbl>
            <w:tblPr>
              <w:tblStyle w:val="a3"/>
              <w:tblW w:w="96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0"/>
              <w:gridCol w:w="4961"/>
            </w:tblGrid>
            <w:tr w:rsidR="00B95888" w:rsidTr="002D7FF2">
              <w:trPr>
                <w:trHeight w:val="1984"/>
              </w:trPr>
              <w:tc>
                <w:tcPr>
                  <w:tcW w:w="4710" w:type="dxa"/>
                </w:tcPr>
                <w:p w:rsidR="00B95888" w:rsidRDefault="00B95888" w:rsidP="00D66ED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E305E">
                    <w:rPr>
                      <w:noProof/>
                      <w:color w:val="92D050"/>
                      <w:sz w:val="28"/>
                      <w:szCs w:val="28"/>
                    </w:rPr>
                    <w:drawing>
                      <wp:inline distT="0" distB="0" distL="0" distR="0" wp14:anchorId="4A3B9C46" wp14:editId="6BE70D15">
                        <wp:extent cx="2686050" cy="1133475"/>
                        <wp:effectExtent l="0" t="38100" r="0" b="9525"/>
                        <wp:docPr id="48" name="Диаграмма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61" w:type="dxa"/>
                </w:tcPr>
                <w:p w:rsidR="00B95888" w:rsidRPr="008E305E" w:rsidRDefault="00B95888" w:rsidP="00B95888">
                  <w:pPr>
                    <w:jc w:val="center"/>
                    <w:rPr>
                      <w:noProof/>
                      <w:color w:val="92D050"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9EDCECD" wp14:editId="53233ECD">
                        <wp:extent cx="1714500" cy="1076325"/>
                        <wp:effectExtent l="0" t="0" r="0" b="0"/>
                        <wp:docPr id="49" name="Диаграмма 4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A61D0" w:rsidRPr="00C830AF" w:rsidRDefault="00EA61D0" w:rsidP="007F72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61D0" w:rsidRPr="00107900" w:rsidTr="002D7FF2">
        <w:trPr>
          <w:trHeight w:val="156"/>
        </w:trPr>
        <w:tc>
          <w:tcPr>
            <w:tcW w:w="10065" w:type="dxa"/>
            <w:gridSpan w:val="2"/>
          </w:tcPr>
          <w:p w:rsidR="00EA61D0" w:rsidRDefault="00D56113" w:rsidP="001A5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561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Статево-вікова піраміда </w:t>
            </w:r>
            <w:r w:rsidR="003913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безробітних, що приймались на громадські роботи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Степанківській сільській об’єднаній територіальній громаді</w:t>
            </w:r>
            <w:r w:rsidR="003913E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2019 році</w:t>
            </w:r>
          </w:p>
        </w:tc>
      </w:tr>
      <w:tr w:rsidR="002D7FF2" w:rsidRPr="00C11636" w:rsidTr="0090440B">
        <w:trPr>
          <w:trHeight w:val="3917"/>
        </w:trPr>
        <w:tc>
          <w:tcPr>
            <w:tcW w:w="5670" w:type="dxa"/>
          </w:tcPr>
          <w:p w:rsidR="008A27B2" w:rsidRDefault="008A27B2" w:rsidP="00D66ED4">
            <w:pPr>
              <w:ind w:right="576"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720470" wp14:editId="4A213F10">
                  <wp:extent cx="3019425" cy="2390775"/>
                  <wp:effectExtent l="0" t="0" r="0" b="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20344" w:rsidRDefault="008A27B2" w:rsidP="00C11636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статево-вікового складу </w:t>
            </w:r>
            <w:r w:rsidR="00B01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безробітних, що приймались на громадські роботи</w:t>
            </w:r>
            <w:r w:rsidR="002D7F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5E8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 Степанківській сільській об’єднаній тери</w:t>
            </w:r>
            <w:r w:rsidR="00B01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торіальній громаді показує, що 10</w:t>
            </w:r>
            <w:r w:rsidR="00C116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0% осіб, що </w:t>
            </w:r>
            <w:r w:rsidR="00B01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приймались на роботу</w:t>
            </w:r>
            <w:r w:rsidR="00C116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це чоловіки.</w:t>
            </w:r>
            <w:r w:rsidR="00E203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віковими групами розподіляються:</w:t>
            </w:r>
          </w:p>
          <w:p w:rsidR="00E20344" w:rsidRDefault="00B01787" w:rsidP="00C11636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31-40 років – 1 особа</w:t>
            </w:r>
            <w:r w:rsidR="00E203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20344" w:rsidRDefault="00B01787" w:rsidP="00C11636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41-50 років – 5 осіб</w:t>
            </w:r>
            <w:r w:rsidR="00E2034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43EF1" w:rsidRDefault="00D66ED4" w:rsidP="0090440B">
            <w:pPr>
              <w:ind w:firstLine="5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51-60 років – </w:t>
            </w:r>
            <w:r w:rsidR="00B017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особи.</w:t>
            </w:r>
          </w:p>
        </w:tc>
      </w:tr>
    </w:tbl>
    <w:p w:rsidR="005C1767" w:rsidRDefault="005C1767" w:rsidP="005C1767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Склад</w:t>
      </w:r>
      <w:r w:rsidRPr="00C83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40B">
        <w:rPr>
          <w:rFonts w:ascii="Times New Roman" w:eastAsia="Times New Roman" w:hAnsi="Times New Roman" w:cs="Times New Roman"/>
          <w:sz w:val="28"/>
          <w:szCs w:val="28"/>
          <w:lang w:val="uk-UA"/>
        </w:rPr>
        <w:t>безробітних, що приймались на громадські роботи</w:t>
      </w:r>
      <w:r w:rsidR="001A59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 Степанківській сільській об’єднаній територіальній громаді</w:t>
      </w:r>
      <w:r w:rsidR="001A59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статтю та місцем проживання</w:t>
      </w:r>
      <w:r w:rsidR="00853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40B">
        <w:rPr>
          <w:rFonts w:ascii="Times New Roman" w:eastAsia="Times New Roman" w:hAnsi="Times New Roman" w:cs="Times New Roman"/>
          <w:sz w:val="28"/>
          <w:szCs w:val="28"/>
          <w:lang w:val="uk-UA"/>
        </w:rPr>
        <w:t>у 2019 році</w:t>
      </w:r>
    </w:p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F10DCD" w:rsidTr="001A592C">
        <w:trPr>
          <w:trHeight w:val="5552"/>
        </w:trPr>
        <w:tc>
          <w:tcPr>
            <w:tcW w:w="5387" w:type="dxa"/>
          </w:tcPr>
          <w:p w:rsidR="00F10DCD" w:rsidRDefault="00F10DCD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Аналіз складу </w:t>
            </w:r>
            <w:r w:rsidR="008F04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безробітних, що приймались на громадські роботи</w:t>
            </w:r>
            <w:r w:rsidR="0062551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Степанківській сільській об’єднаній територіальній громаді за статтю та місцем проживання показує, що:</w:t>
            </w:r>
          </w:p>
          <w:p w:rsidR="00150C4B" w:rsidRDefault="00450498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безробітних, що приймались на громадські роботи</w:t>
            </w:r>
            <w:r w:rsidR="00E238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жителів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ного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пункту с. Степанки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було 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особа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(частка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загальній кількості становить 13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%), в тому числі чоловіків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особа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жінок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22D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50C4B" w:rsidRDefault="001A592C" w:rsidP="00F10DCD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безробітних, що приймались на громадські роботи</w:t>
            </w:r>
            <w:r w:rsidR="00E238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жителів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пункту с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Бузуків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було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50C4B" w:rsidRDefault="001A592C" w:rsidP="001A592C">
            <w:pPr>
              <w:pStyle w:val="a4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безробітних, що приймались на громадські роботи </w:t>
            </w:r>
            <w:r w:rsidR="00E2380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жителів населеного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пункту с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Хацьки всього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осіб (частка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загальній кількості становить 87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%), в тому числі чоловіків –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осіб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жінок –</w:t>
            </w:r>
            <w:r w:rsidR="00B43D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50C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осіб</w:t>
            </w:r>
            <w:r w:rsidR="007B75B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956" w:type="dxa"/>
          </w:tcPr>
          <w:p w:rsidR="00F10DCD" w:rsidRDefault="00F10DCD" w:rsidP="005C17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5BF145" wp14:editId="7E43B091">
                  <wp:extent cx="2781300" cy="36957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BF20D1" w:rsidRPr="002E1C88" w:rsidRDefault="00665601" w:rsidP="00E922C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Висновки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результатами гендерного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7090" w:rsidRPr="00B21857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гендерного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2E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1C88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E1C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зокрема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репрезентативність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співставність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згрупованість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даних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статтю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іншими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доцільними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6E63F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B2185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5A4489" w:rsidRDefault="00AE3B1F" w:rsidP="00B2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проведення гендерного аналізу бюджетної програми «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 галузі «</w:t>
      </w:r>
      <w:r w:rsidR="000D43E5">
        <w:rPr>
          <w:rFonts w:ascii="Times New Roman" w:hAnsi="Times New Roman" w:cs="Times New Roman"/>
          <w:sz w:val="28"/>
          <w:szCs w:val="28"/>
          <w:lang w:val="uk-UA"/>
        </w:rPr>
        <w:t>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 була використана інформація з різних джерел: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0213210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паспорту </w:t>
      </w:r>
      <w:r w:rsidRPr="007B29C0">
        <w:rPr>
          <w:rFonts w:ascii="Times New Roman" w:hAnsi="Times New Roman" w:cs="Times New Roman"/>
          <w:sz w:val="28"/>
          <w:szCs w:val="28"/>
          <w:lang w:val="uk-UA"/>
        </w:rPr>
        <w:t>бюджетної програми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0213210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 за 2019 рік;</w:t>
      </w:r>
    </w:p>
    <w:p w:rsidR="00AE3B1F" w:rsidRP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B1F">
        <w:rPr>
          <w:rFonts w:ascii="Times New Roman" w:hAnsi="Times New Roman" w:cs="Times New Roman"/>
          <w:sz w:val="28"/>
          <w:szCs w:val="28"/>
          <w:lang w:val="uk-UA"/>
        </w:rPr>
        <w:t>оцінка ефективності бюджетної програми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 xml:space="preserve"> по КПКВКМБ 0213210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3B1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F5C0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Pr="00AE3B1F">
        <w:rPr>
          <w:rFonts w:ascii="Times New Roman" w:hAnsi="Times New Roman" w:cs="Times New Roman"/>
          <w:sz w:val="28"/>
          <w:szCs w:val="28"/>
          <w:lang w:val="uk-UA"/>
        </w:rPr>
        <w:t>» за 2019</w:t>
      </w:r>
      <w:r w:rsidR="0081287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B1F" w:rsidRDefault="00AE3B1F" w:rsidP="00AE3B1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внутрішнього обліку;</w:t>
      </w:r>
    </w:p>
    <w:p w:rsidR="00AE3B1F" w:rsidRDefault="00AE3B1F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інша інформація.</w:t>
      </w:r>
    </w:p>
    <w:p w:rsidR="00AE3B1F" w:rsidRDefault="00812875" w:rsidP="00AE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Наявні дані та інформація дали змогу проаналізувати надавачів та отримувачів послуг за бюджетною програмою</w:t>
      </w:r>
      <w:r w:rsidR="002F5C1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достатнім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 xml:space="preserve">и для проведення </w:t>
      </w:r>
      <w:r w:rsidR="002F5C1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глибокого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гендерного аналізу</w:t>
      </w:r>
      <w:r w:rsidR="002D3FF4" w:rsidRP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E10B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06B96">
        <w:rPr>
          <w:rFonts w:ascii="Times New Roman" w:hAnsi="Times New Roman" w:cs="Times New Roman"/>
          <w:sz w:val="28"/>
          <w:szCs w:val="28"/>
          <w:lang w:val="uk-UA"/>
        </w:rPr>
        <w:t>джетної програми КПКВКМБ 0213210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F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06B9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="002D3FF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D9333B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Співставність наявних статистичних даних т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а інформацій забезпечено на середньому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33B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проведення аналізу дані групувались за статтю</w:t>
      </w:r>
      <w:r w:rsidR="004C2069">
        <w:rPr>
          <w:rFonts w:ascii="Times New Roman" w:hAnsi="Times New Roman" w:cs="Times New Roman"/>
          <w:sz w:val="28"/>
          <w:szCs w:val="28"/>
          <w:lang w:val="uk-UA"/>
        </w:rPr>
        <w:t>, віком,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іншими ознаками, доцільними для проведення гендерного аналізу.</w:t>
      </w:r>
    </w:p>
    <w:p w:rsidR="00C959AE" w:rsidRDefault="00C959AE" w:rsidP="00D9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9AE" w:rsidRPr="00C959AE" w:rsidRDefault="00C959AE" w:rsidP="00C959AE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відповідність бюджетної програми 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тому числі відповідність завданням стратегічних і програмних документів держави з гендерних питань: </w:t>
      </w:r>
    </w:p>
    <w:p w:rsidR="007600E5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відповідності бюджетної програми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D39A8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="00FD5168">
        <w:rPr>
          <w:rFonts w:ascii="Times New Roman" w:hAnsi="Times New Roman" w:cs="Times New Roman"/>
          <w:sz w:val="28"/>
          <w:szCs w:val="28"/>
          <w:lang w:val="uk-UA"/>
        </w:rPr>
        <w:t>» галузі «Соціальний захист та соціальне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взятим Україною зобов'язанням щодо гендерної рівності, вимогам нормативно-правових актів та інших документів, які містять інформацію про гендерну рівність,</w:t>
      </w:r>
      <w:r w:rsidRPr="005A4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A4489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відповідність завданням стратегічних і програмних документів держави з гендерних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 цілому засвідчив дотримання вказаних вимог, хоча за бюджетною програмою чітко не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вирізняються отримувачі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їх групи з точки зор</w:t>
      </w:r>
      <w:r w:rsidR="00FD5168">
        <w:rPr>
          <w:rFonts w:ascii="Times New Roman" w:eastAsia="Times New Roman" w:hAnsi="Times New Roman" w:cs="Times New Roman"/>
          <w:sz w:val="28"/>
          <w:szCs w:val="28"/>
          <w:lang w:val="uk-UA"/>
        </w:rPr>
        <w:t>у гендерного підходу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C959AE" w:rsidRDefault="00C959AE" w:rsidP="00C9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Можна зробити </w:t>
      </w:r>
      <w:r w:rsidR="007600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проте, що бюджетна програма має оз</w:t>
      </w:r>
      <w:r w:rsidR="005D39A8">
        <w:rPr>
          <w:rFonts w:ascii="Times New Roman" w:eastAsia="Times New Roman" w:hAnsi="Times New Roman" w:cs="Times New Roman"/>
          <w:sz w:val="28"/>
          <w:szCs w:val="28"/>
          <w:lang w:val="uk-UA"/>
        </w:rPr>
        <w:t>наки гендерно чутливої</w:t>
      </w:r>
      <w:r w:rsidR="005007E7">
        <w:rPr>
          <w:rFonts w:ascii="Times New Roman" w:eastAsia="Times New Roman" w:hAnsi="Times New Roman" w:cs="Times New Roman"/>
          <w:sz w:val="28"/>
          <w:szCs w:val="28"/>
          <w:lang w:val="uk-UA"/>
        </w:rPr>
        <w:t>, оскільки виходячи з результативних показників за бюджетною програмою отримувачами послуги можуть бути безробітні, як чоловіки та і жінки</w:t>
      </w:r>
      <w:r w:rsidR="003D646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959AE" w:rsidRPr="00B21857" w:rsidRDefault="00C959AE" w:rsidP="00C9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0D1" w:rsidRPr="00C959AE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59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стан врахування у бюджетній програмі гендерних аспектів (</w:t>
      </w:r>
      <w:r w:rsidRPr="00C959A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наявність гендерних аспектів у назві бюджетної програми, її меті, завданнях, напрямах використання коштів, результативних показниках)</w:t>
      </w:r>
      <w:r w:rsidR="007C49F7" w:rsidRPr="00C959A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0523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програми: «</w:t>
      </w:r>
      <w:r w:rsidR="00CC0523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» - не має гендерних аспектів.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бюджетної програми: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1FC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C0523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 w:rsidR="00CC0523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громадських робіт</w:t>
      </w:r>
      <w:r w:rsidRPr="000D6E2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(завдання направленні на забезпечення </w:t>
      </w:r>
      <w:r w:rsidR="00CC0523">
        <w:rPr>
          <w:rFonts w:ascii="Times New Roman" w:hAnsi="Times New Roman" w:cs="Times New Roman"/>
          <w:sz w:val="28"/>
          <w:szCs w:val="28"/>
          <w:lang w:val="uk-UA"/>
        </w:rPr>
        <w:t>організації та проведення громадських робіт</w:t>
      </w:r>
      <w:r w:rsidR="00C04C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 розподілу за статтю).</w:t>
      </w:r>
    </w:p>
    <w:p w:rsidR="003520DB" w:rsidRDefault="003520DB" w:rsidP="00352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Напрями використання коштів: </w:t>
      </w:r>
      <w:r w:rsidRPr="00B94D2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3409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та проведення громадських робіт</w:t>
      </w:r>
      <w:r w:rsidR="00150A7E" w:rsidRPr="000D6E2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 xml:space="preserve"> - не має чітких гендерних аспектів (напрями використання коштів </w:t>
      </w:r>
      <w:r w:rsidR="00A63409">
        <w:rPr>
          <w:rFonts w:ascii="Times New Roman" w:hAnsi="Times New Roman" w:cs="Times New Roman"/>
          <w:sz w:val="28"/>
          <w:szCs w:val="28"/>
          <w:lang w:val="uk-UA"/>
        </w:rPr>
        <w:t>направленні на забезпечення організації та проведення громадських робіт без розподілу за статтю</w:t>
      </w:r>
      <w:r w:rsidR="00150A7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865" w:rsidRDefault="00CD560E" w:rsidP="007C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60E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показники:</w:t>
      </w:r>
    </w:p>
    <w:p w:rsidR="00CD560E" w:rsidRPr="00CD560E" w:rsidRDefault="00CD560E" w:rsidP="00CD56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34B9">
        <w:rPr>
          <w:rFonts w:ascii="Times New Roman" w:eastAsia="Arial" w:hAnsi="Times New Roman" w:cs="Times New Roman"/>
          <w:sz w:val="28"/>
          <w:szCs w:val="28"/>
        </w:rPr>
        <w:t>з</w:t>
      </w:r>
      <w:r w:rsidR="007D34B9" w:rsidRPr="007D34B9">
        <w:rPr>
          <w:rFonts w:ascii="Times New Roman" w:eastAsia="Arial" w:hAnsi="Times New Roman" w:cs="Times New Roman"/>
          <w:sz w:val="28"/>
          <w:szCs w:val="28"/>
        </w:rPr>
        <w:t>дійснення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витрат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пов'язаних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з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органцізацією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проведенням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громадських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за гендерною ознакою);</w:t>
      </w:r>
    </w:p>
    <w:p w:rsidR="00902263" w:rsidRDefault="00902263" w:rsidP="008D5AB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34B9">
        <w:rPr>
          <w:rFonts w:ascii="Times New Roman" w:eastAsia="Arial" w:hAnsi="Times New Roman" w:cs="Times New Roman"/>
          <w:sz w:val="28"/>
          <w:szCs w:val="28"/>
        </w:rPr>
        <w:t>к</w:t>
      </w:r>
      <w:r w:rsidR="007D34B9" w:rsidRPr="007D34B9">
        <w:rPr>
          <w:rFonts w:ascii="Times New Roman" w:eastAsia="Arial" w:hAnsi="Times New Roman" w:cs="Times New Roman"/>
          <w:sz w:val="28"/>
          <w:szCs w:val="28"/>
        </w:rPr>
        <w:t>ількість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безробітних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які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беруть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участь в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проведенні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громадських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не враховує гендерних аспектів (не має розподілу за гендерною ознакою);</w:t>
      </w:r>
    </w:p>
    <w:p w:rsidR="008D5AB5" w:rsidRPr="007D34B9" w:rsidRDefault="00902263" w:rsidP="007D34B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середні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витрати</w:t>
      </w:r>
      <w:proofErr w:type="spellEnd"/>
      <w:r w:rsidR="007D34B9" w:rsidRPr="007D34B9">
        <w:rPr>
          <w:rFonts w:ascii="Times New Roman" w:eastAsia="Arial" w:hAnsi="Times New Roman" w:cs="Times New Roman"/>
          <w:sz w:val="28"/>
          <w:szCs w:val="28"/>
        </w:rPr>
        <w:t xml:space="preserve"> на одного </w:t>
      </w:r>
      <w:proofErr w:type="spellStart"/>
      <w:r w:rsidR="007D34B9" w:rsidRPr="007D34B9">
        <w:rPr>
          <w:rFonts w:ascii="Times New Roman" w:eastAsia="Arial" w:hAnsi="Times New Roman" w:cs="Times New Roman"/>
          <w:sz w:val="28"/>
          <w:szCs w:val="28"/>
        </w:rPr>
        <w:t>безробітного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не враховує гендерних аспектів (не має </w:t>
      </w:r>
      <w:r w:rsidR="007D34B9">
        <w:rPr>
          <w:rFonts w:ascii="Times New Roman" w:hAnsi="Times New Roman" w:cs="Times New Roman"/>
          <w:sz w:val="28"/>
          <w:szCs w:val="28"/>
          <w:lang w:val="uk-UA"/>
        </w:rPr>
        <w:t>розподілу за гендерною ознакою)</w:t>
      </w:r>
      <w:r w:rsidR="008D5AB5" w:rsidRPr="007D34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F6A" w:rsidRPr="00B94D2E" w:rsidRDefault="00CD0F6A" w:rsidP="007C49F7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D60BB9" w:rsidRDefault="00665601" w:rsidP="002E1C88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79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 w:rsidRPr="00FA79EF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виявлені гендерні розриви, гендерна дискримінація, тенденції при забезпеченні потреб та задоволенні інтересів жінок, чоловіків та/або їх груп</w:t>
      </w:r>
      <w:r w:rsidR="00D60BB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E14E4" w:rsidRDefault="00BE14E4" w:rsidP="00BE14E4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 аналізі отримувачів послуг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бюджетною програмою</w:t>
      </w:r>
      <w:r w:rsidR="009E32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F06DD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="009E32F0">
        <w:rPr>
          <w:rFonts w:ascii="Times New Roman" w:eastAsia="Times New Roman" w:hAnsi="Times New Roman" w:cs="Times New Roman"/>
          <w:sz w:val="28"/>
          <w:szCs w:val="28"/>
          <w:lang w:val="uk-UA"/>
        </w:rPr>
        <w:t>»  встановлено, що</w:t>
      </w:r>
      <w:r w:rsidR="00F06D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усі безробітні, що приймались на громадські роботи у 2019 році по Степанківській сільській об’єднаній територіальній громаді</w:t>
      </w:r>
      <w:r w:rsidR="00145A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це чоловіки (8 осіб).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Отримувачами </w:t>
      </w:r>
      <w:r w:rsidR="009223CC">
        <w:rPr>
          <w:rFonts w:ascii="Times New Roman" w:eastAsia="Times New Roman" w:hAnsi="Times New Roman" w:cs="Times New Roman"/>
          <w:sz w:val="28"/>
          <w:szCs w:val="28"/>
          <w:lang w:val="uk-UA"/>
        </w:rPr>
        <w:t>послуги з організації та проведення громадських робіт за бюджетною програмою можуть бути</w:t>
      </w:r>
      <w:r w:rsidR="00CD34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34C4" w:rsidRP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як чоловіки так і жінки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 виключень, </w:t>
      </w:r>
      <w:r w:rsidR="00B74510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9B07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зареєстровані як безробітні в Черкаському районному центрі зайнятості</w:t>
      </w:r>
      <w:r w:rsidR="00CD34C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66AB" w:rsidRPr="005C7593" w:rsidRDefault="007C66AB" w:rsidP="007C66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E5F4D" w:rsidRDefault="00665601" w:rsidP="00AE4D5A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справедливого та неупередженого</w:t>
      </w:r>
      <w:r w:rsidRPr="00AE4D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розподілу бюджетних коштів при плануванні та виконанні бюджетної програми, наданні державних послуг </w:t>
      </w:r>
      <w:r w:rsidRPr="00AE4D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(рівень забезпечення потреб та задоволення інтересів жінок, чоловіків та/або їх груп за існуючих/діючих підходів до визначення обсягу та розподілу коштів в межах бюджетної програми)</w:t>
      </w:r>
      <w:r w:rsidR="00E572B6" w:rsidRPr="00AE4D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913E0" w:rsidRPr="004913E0" w:rsidRDefault="004913E0" w:rsidP="00536F71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Кошти за бюджетною програмою «</w:t>
      </w:r>
      <w:r w:rsidR="00E1269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забезпечують можливість</w:t>
      </w:r>
      <w:r w:rsidR="00E126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фінансування організації громадських робіт, до яких залучаються зареєстровані безробітні та/або працівники, які втратили частину заробітної плати, за рахунок коштів бюджету</w:t>
      </w:r>
      <w:r w:rsidR="005177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Степанківської сільської об’єднаної територіальної громади та/або Фонду загальнообов’язкового державного соціального страхування на випадок безробіття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3E0" w:rsidRDefault="003F3BE8" w:rsidP="004913E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плануванні та використанні коштів</w:t>
      </w:r>
      <w:r w:rsidR="00B212CF">
        <w:rPr>
          <w:rFonts w:ascii="Times New Roman" w:hAnsi="Times New Roman" w:cs="Times New Roman"/>
          <w:sz w:val="28"/>
          <w:szCs w:val="28"/>
          <w:lang w:val="uk-UA"/>
        </w:rPr>
        <w:t xml:space="preserve"> за бюджетною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2019 році не передбачався розподіл видатків окремо на </w:t>
      </w:r>
      <w:r w:rsidR="00814874">
        <w:rPr>
          <w:rFonts w:ascii="Times New Roman" w:hAnsi="Times New Roman" w:cs="Times New Roman"/>
          <w:sz w:val="28"/>
          <w:szCs w:val="28"/>
          <w:lang w:val="uk-UA"/>
        </w:rPr>
        <w:t>чоловіків та жінок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A573A" w:rsidRDefault="008A573A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2019 рік видатки на </w:t>
      </w:r>
      <w:r w:rsidR="00CA2A3B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організацію та проведення громадських робіт</w:t>
      </w:r>
      <w:r w:rsidR="00066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фондами бюджету </w:t>
      </w:r>
      <w:r w:rsidR="000F02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Степанківської сільської об’єднаної територіальної громади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цілому</w:t>
      </w:r>
      <w:r w:rsidR="00AC17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всього склали в сумі </w:t>
      </w:r>
      <w:r w:rsidR="00CA2A3B">
        <w:rPr>
          <w:rFonts w:ascii="Times New Roman" w:eastAsia="Times New Roman" w:hAnsi="Times New Roman" w:cs="Times New Roman"/>
          <w:sz w:val="28"/>
          <w:szCs w:val="28"/>
          <w:lang w:val="uk-UA"/>
        </w:rPr>
        <w:t>40309,98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в тому числі:</w:t>
      </w:r>
    </w:p>
    <w:p w:rsidR="007B5E19" w:rsidRDefault="007B5E19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заробітну плату всього 33040,95 грн., в тому числі за рахунок коштів бюджету Степанківської сільської об’єднаної територіальної громади в сумі – 16520,42 грн., за рахунок Фонду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загальнообов’язкового державного соціального страхування на випадок безробіття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Черкаський районний центр зайнятості в сумі 16520,53 грн.;</w:t>
      </w:r>
    </w:p>
    <w:p w:rsidR="004E3B9E" w:rsidRDefault="00582BC0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нарахування на оплату праці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7269,03</w:t>
      </w:r>
      <w:r w:rsidR="004E3B9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  <w:r w:rsidR="001F0F77" w:rsidRPr="001F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0F77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за рахунок коштів бюджету Степанківської сільської об’єднаної територіальної громади в сумі –</w:t>
      </w:r>
      <w:r w:rsidR="001F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3634,52</w:t>
      </w:r>
      <w:r w:rsidR="001F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грн., за рахунок Фонду загальнообов’язкового державного соціального страхування на випадок безробіття через Черкаський районний </w:t>
      </w:r>
      <w:r w:rsidR="001F0F7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 зайнятості в сумі 3634,51</w:t>
      </w:r>
      <w:r w:rsidR="001F0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B672CE" w:rsidRDefault="00ED20F6" w:rsidP="004913E0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Середні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витрати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одного безробітного 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2019 році становили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5038,75</w:t>
      </w:r>
      <w:r w:rsidR="007D2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(згідно </w:t>
      </w:r>
      <w:r w:rsidR="0079380B">
        <w:rPr>
          <w:rFonts w:ascii="Times New Roman" w:eastAsia="Times New Roman" w:hAnsi="Times New Roman" w:cs="Times New Roman"/>
          <w:sz w:val="28"/>
          <w:szCs w:val="28"/>
          <w:lang w:val="uk-UA"/>
        </w:rPr>
        <w:t>розрахунків внутрішнього обліку)</w:t>
      </w:r>
      <w:r w:rsidR="00364C2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F1293" w:rsidRPr="00364C23" w:rsidRDefault="006F1293" w:rsidP="006F129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BF20D1" w:rsidRPr="00E17BB5" w:rsidRDefault="00665601" w:rsidP="00D20E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B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Пропозиції за результатами гендерного </w:t>
      </w:r>
      <w:proofErr w:type="spellStart"/>
      <w:r w:rsidRPr="00E17B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</w:t>
      </w:r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>алізу</w:t>
      </w:r>
      <w:proofErr w:type="spellEnd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>бюджетної</w:t>
      </w:r>
      <w:proofErr w:type="spellEnd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>програми</w:t>
      </w:r>
      <w:proofErr w:type="spellEnd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1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7" w:rsidRPr="00E17BB5" w:rsidRDefault="00D20EF7" w:rsidP="00D20EF7">
      <w:pPr>
        <w:spacing w:after="0" w:line="240" w:lineRule="auto"/>
        <w:ind w:left="240"/>
        <w:jc w:val="both"/>
        <w:rPr>
          <w:sz w:val="28"/>
          <w:szCs w:val="28"/>
        </w:rPr>
      </w:pPr>
    </w:p>
    <w:p w:rsidR="007233A8" w:rsidRPr="00E17BB5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E17BB5">
        <w:rPr>
          <w:rFonts w:ascii="Times New Roman" w:eastAsia="Times New Roman" w:hAnsi="Times New Roman" w:cs="Times New Roman"/>
          <w:sz w:val="28"/>
          <w:szCs w:val="28"/>
        </w:rPr>
        <w:t>включення</w:t>
      </w:r>
      <w:proofErr w:type="spellEnd"/>
      <w:r w:rsidRPr="00E1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sz w:val="28"/>
          <w:szCs w:val="28"/>
        </w:rPr>
        <w:t>гендерних</w:t>
      </w:r>
      <w:proofErr w:type="spellEnd"/>
      <w:r w:rsidRPr="00E1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sz w:val="28"/>
          <w:szCs w:val="28"/>
        </w:rPr>
        <w:t>аспектів</w:t>
      </w:r>
      <w:proofErr w:type="spellEnd"/>
      <w:r w:rsidRPr="00E17BB5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E17BB5">
        <w:rPr>
          <w:rFonts w:ascii="Times New Roman" w:eastAsia="Times New Roman" w:hAnsi="Times New Roman" w:cs="Times New Roman"/>
          <w:sz w:val="28"/>
          <w:szCs w:val="28"/>
        </w:rPr>
        <w:t>бюджетної</w:t>
      </w:r>
      <w:proofErr w:type="spellEnd"/>
      <w:r w:rsidRPr="00E17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E17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7BB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до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назви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мети,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результативних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показників</w:t>
      </w:r>
      <w:proofErr w:type="spellEnd"/>
      <w:r w:rsidRPr="00E17BB5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7233A8" w:rsidRPr="00E17BB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F582F" w:rsidRPr="00E17BB5" w:rsidRDefault="00BF582F" w:rsidP="00D20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17BB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назви бюджетної програми:</w:t>
      </w:r>
    </w:p>
    <w:p w:rsidR="00BF582F" w:rsidRPr="00E17BB5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B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Назва бюджетної програми </w:t>
      </w:r>
      <w:r w:rsidRPr="00E17BB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45C75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Pr="00E17BB5">
        <w:rPr>
          <w:rFonts w:ascii="Times New Roman" w:hAnsi="Times New Roman" w:cs="Times New Roman"/>
          <w:sz w:val="28"/>
          <w:szCs w:val="28"/>
          <w:lang w:val="uk-UA"/>
        </w:rPr>
        <w:t>» відповідає назві відповідно до Типової програмної класифікації видатків та кредитування місцевого бюджету, затвердженої наказом Міністерства фінансів України від 20.09.2017 № 793 зі змінами, тому виконавчим комітетом Степанківської сільської ради не можуть бути внесені зміни (включені гендерні аспекти) до назви бюджетної програми.</w:t>
      </w:r>
    </w:p>
    <w:p w:rsidR="005A5834" w:rsidRPr="00364C23" w:rsidRDefault="005A583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F582F" w:rsidRPr="00DF64C2" w:rsidRDefault="00BF582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4C2">
        <w:rPr>
          <w:rFonts w:ascii="Times New Roman" w:hAnsi="Times New Roman" w:cs="Times New Roman"/>
          <w:sz w:val="28"/>
          <w:szCs w:val="28"/>
          <w:lang w:val="uk-UA"/>
        </w:rPr>
        <w:t>Пропозиції щодо мети бюджетної програми:</w:t>
      </w:r>
    </w:p>
    <w:p w:rsidR="00F07EF0" w:rsidRPr="00DF64C2" w:rsidRDefault="0000583D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4C2">
        <w:rPr>
          <w:rFonts w:ascii="Times New Roman" w:hAnsi="Times New Roman" w:cs="Times New Roman"/>
          <w:sz w:val="28"/>
          <w:szCs w:val="28"/>
          <w:lang w:val="uk-UA"/>
        </w:rPr>
        <w:t>Мета бюджетної програми «</w:t>
      </w:r>
      <w:r w:rsidR="00684844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громадських робіт</w:t>
      </w:r>
      <w:r w:rsidRPr="00DF64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64C2">
        <w:rPr>
          <w:rFonts w:ascii="Times New Roman" w:hAnsi="Times New Roman" w:cs="Times New Roman"/>
          <w:sz w:val="28"/>
          <w:szCs w:val="28"/>
        </w:rPr>
        <w:t> </w:t>
      </w:r>
      <w:r w:rsidR="008A398E" w:rsidRPr="00DF64C2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6612C9" w:rsidRPr="00DF64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398E" w:rsidRPr="00364C23" w:rsidRDefault="008A398E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07EF0" w:rsidRPr="00522F18" w:rsidRDefault="00F07EF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F18">
        <w:rPr>
          <w:rFonts w:ascii="Times New Roman" w:hAnsi="Times New Roman" w:cs="Times New Roman"/>
          <w:sz w:val="28"/>
          <w:szCs w:val="28"/>
          <w:lang w:val="uk-UA"/>
        </w:rPr>
        <w:t>Пропозиції щодо завдань бюджетної програми:</w:t>
      </w:r>
    </w:p>
    <w:p w:rsidR="003565B4" w:rsidRPr="00522F18" w:rsidRDefault="006612C9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F18">
        <w:rPr>
          <w:rFonts w:ascii="Times New Roman" w:hAnsi="Times New Roman" w:cs="Times New Roman"/>
          <w:sz w:val="28"/>
          <w:szCs w:val="28"/>
          <w:lang w:val="uk-UA"/>
        </w:rPr>
        <w:t>Завдання бюджетної програми «</w:t>
      </w:r>
      <w:r w:rsidR="00684844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</w:t>
      </w:r>
      <w:r w:rsidR="00684844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громадських робіт</w:t>
      </w:r>
      <w:r w:rsidRPr="00522F1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A398E" w:rsidRPr="00522F18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="00DF4500" w:rsidRPr="0052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00" w:rsidRPr="00364C23" w:rsidRDefault="00DF4500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565B4" w:rsidRPr="00522F18" w:rsidRDefault="003565B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F18">
        <w:rPr>
          <w:rFonts w:ascii="Times New Roman" w:hAnsi="Times New Roman" w:cs="Times New Roman"/>
          <w:sz w:val="28"/>
          <w:szCs w:val="28"/>
          <w:lang w:val="uk-UA"/>
        </w:rPr>
        <w:t>Пропозиції щодо напрямів використання бюджетних коштів за бюджетною програмою:</w:t>
      </w:r>
    </w:p>
    <w:p w:rsidR="00292F8F" w:rsidRPr="00522F18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2F18">
        <w:rPr>
          <w:rFonts w:ascii="Times New Roman" w:hAnsi="Times New Roman" w:cs="Times New Roman"/>
          <w:sz w:val="28"/>
          <w:szCs w:val="28"/>
          <w:lang w:val="uk-UA"/>
        </w:rPr>
        <w:t xml:space="preserve">Напрям використання бюджетних коштів </w:t>
      </w:r>
      <w:r w:rsidR="008A398E" w:rsidRPr="00522F1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84844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організації та проведення громадських робіт</w:t>
      </w:r>
      <w:r w:rsidR="008A398E" w:rsidRPr="00522F18">
        <w:rPr>
          <w:rFonts w:ascii="Times New Roman" w:hAnsi="Times New Roman" w:cs="Times New Roman"/>
          <w:sz w:val="28"/>
          <w:szCs w:val="28"/>
          <w:lang w:val="uk-UA"/>
        </w:rPr>
        <w:t>» залишити без змін</w:t>
      </w:r>
      <w:r w:rsidR="00F1315C" w:rsidRPr="00522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8C4" w:rsidRPr="00364C23" w:rsidRDefault="002548C4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292F8F" w:rsidRPr="0067697E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7E">
        <w:rPr>
          <w:rFonts w:ascii="Times New Roman" w:hAnsi="Times New Roman" w:cs="Times New Roman"/>
          <w:sz w:val="28"/>
          <w:szCs w:val="28"/>
          <w:lang w:val="uk-UA"/>
        </w:rPr>
        <w:t>Пропозиції щодо результативних показників бюджетної програми:</w:t>
      </w:r>
    </w:p>
    <w:p w:rsidR="00860802" w:rsidRPr="0067697E" w:rsidRDefault="00860802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</w:t>
      </w:r>
      <w:r w:rsidR="00585501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щодо внесення змін </w:t>
      </w:r>
      <w:r w:rsidR="0040105B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до показників </w:t>
      </w:r>
      <w:r w:rsidR="008E4CC5">
        <w:rPr>
          <w:rFonts w:ascii="Times New Roman" w:hAnsi="Times New Roman" w:cs="Times New Roman"/>
          <w:sz w:val="28"/>
          <w:szCs w:val="28"/>
          <w:lang w:val="uk-UA"/>
        </w:rPr>
        <w:t>затрат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105B" w:rsidRPr="0067697E" w:rsidRDefault="0040105B" w:rsidP="004010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показник </w:t>
      </w:r>
      <w:r w:rsidR="008E4CC5">
        <w:rPr>
          <w:rFonts w:ascii="Times New Roman" w:hAnsi="Times New Roman" w:cs="Times New Roman"/>
          <w:sz w:val="28"/>
          <w:szCs w:val="28"/>
          <w:lang w:val="uk-UA"/>
        </w:rPr>
        <w:t>затрат</w:t>
      </w:r>
      <w:r w:rsidR="00C11F34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E4CC5">
        <w:rPr>
          <w:rFonts w:ascii="Times New Roman" w:eastAsia="Arial" w:hAnsi="Times New Roman" w:cs="Times New Roman"/>
          <w:sz w:val="28"/>
          <w:szCs w:val="28"/>
        </w:rPr>
        <w:t>з</w:t>
      </w:r>
      <w:r w:rsidR="008E4CC5" w:rsidRPr="008E4CC5">
        <w:rPr>
          <w:rFonts w:ascii="Times New Roman" w:eastAsia="Arial" w:hAnsi="Times New Roman" w:cs="Times New Roman"/>
          <w:sz w:val="28"/>
          <w:szCs w:val="28"/>
        </w:rPr>
        <w:t>дійсне</w:t>
      </w:r>
      <w:r w:rsidR="00725D52">
        <w:rPr>
          <w:rFonts w:ascii="Times New Roman" w:eastAsia="Arial" w:hAnsi="Times New Roman" w:cs="Times New Roman"/>
          <w:sz w:val="28"/>
          <w:szCs w:val="28"/>
        </w:rPr>
        <w:t>ння</w:t>
      </w:r>
      <w:proofErr w:type="spellEnd"/>
      <w:r w:rsidR="00725D52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725D52">
        <w:rPr>
          <w:rFonts w:ascii="Times New Roman" w:eastAsia="Arial" w:hAnsi="Times New Roman" w:cs="Times New Roman"/>
          <w:sz w:val="28"/>
          <w:szCs w:val="28"/>
        </w:rPr>
        <w:t>витрат</w:t>
      </w:r>
      <w:proofErr w:type="spellEnd"/>
      <w:r w:rsidR="00725D52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="00725D52">
        <w:rPr>
          <w:rFonts w:ascii="Times New Roman" w:eastAsia="Arial" w:hAnsi="Times New Roman" w:cs="Times New Roman"/>
          <w:sz w:val="28"/>
          <w:szCs w:val="28"/>
        </w:rPr>
        <w:t>пов'язаних</w:t>
      </w:r>
      <w:proofErr w:type="spellEnd"/>
      <w:r w:rsidR="00725D52">
        <w:rPr>
          <w:rFonts w:ascii="Times New Roman" w:eastAsia="Arial" w:hAnsi="Times New Roman" w:cs="Times New Roman"/>
          <w:sz w:val="28"/>
          <w:szCs w:val="28"/>
        </w:rPr>
        <w:t xml:space="preserve"> з </w:t>
      </w:r>
      <w:proofErr w:type="spellStart"/>
      <w:r w:rsidR="00725D52">
        <w:rPr>
          <w:rFonts w:ascii="Times New Roman" w:eastAsia="Arial" w:hAnsi="Times New Roman" w:cs="Times New Roman"/>
          <w:sz w:val="28"/>
          <w:szCs w:val="28"/>
        </w:rPr>
        <w:t>органі</w:t>
      </w:r>
      <w:r w:rsidR="008E4CC5" w:rsidRPr="008E4CC5">
        <w:rPr>
          <w:rFonts w:ascii="Times New Roman" w:eastAsia="Arial" w:hAnsi="Times New Roman" w:cs="Times New Roman"/>
          <w:sz w:val="28"/>
          <w:szCs w:val="28"/>
        </w:rPr>
        <w:t>зацією</w:t>
      </w:r>
      <w:proofErr w:type="spellEnd"/>
      <w:r w:rsidR="008E4CC5" w:rsidRPr="008E4CC5">
        <w:rPr>
          <w:rFonts w:ascii="Times New Roman" w:eastAsia="Arial" w:hAnsi="Times New Roman" w:cs="Times New Roman"/>
          <w:sz w:val="28"/>
          <w:szCs w:val="28"/>
        </w:rPr>
        <w:t xml:space="preserve"> та </w:t>
      </w:r>
      <w:proofErr w:type="spellStart"/>
      <w:r w:rsidR="008E4CC5" w:rsidRPr="008E4CC5">
        <w:rPr>
          <w:rFonts w:ascii="Times New Roman" w:eastAsia="Arial" w:hAnsi="Times New Roman" w:cs="Times New Roman"/>
          <w:sz w:val="28"/>
          <w:szCs w:val="28"/>
        </w:rPr>
        <w:t>проведенням</w:t>
      </w:r>
      <w:proofErr w:type="spellEnd"/>
      <w:r w:rsidR="008E4CC5"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8E4CC5" w:rsidRPr="008E4CC5">
        <w:rPr>
          <w:rFonts w:ascii="Times New Roman" w:eastAsia="Arial" w:hAnsi="Times New Roman" w:cs="Times New Roman"/>
          <w:sz w:val="28"/>
          <w:szCs w:val="28"/>
        </w:rPr>
        <w:t>громадських</w:t>
      </w:r>
      <w:proofErr w:type="spellEnd"/>
      <w:r w:rsidR="008E4CC5"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8E4CC5" w:rsidRPr="008E4CC5">
        <w:rPr>
          <w:rFonts w:ascii="Times New Roman" w:eastAsia="Arial" w:hAnsi="Times New Roman" w:cs="Times New Roman"/>
          <w:sz w:val="28"/>
          <w:szCs w:val="28"/>
        </w:rPr>
        <w:t>робіт</w:t>
      </w:r>
      <w:proofErr w:type="spellEnd"/>
      <w:r w:rsidRPr="008E4C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E4CC5">
        <w:rPr>
          <w:rFonts w:ascii="Times New Roman" w:hAnsi="Times New Roman" w:cs="Times New Roman"/>
          <w:sz w:val="28"/>
          <w:szCs w:val="28"/>
          <w:lang w:val="uk-UA"/>
        </w:rPr>
        <w:t>залишити без змін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CC5" w:rsidRDefault="008E4CC5" w:rsidP="00572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5B" w:rsidRDefault="008E4CC5" w:rsidP="005723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7E"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змін до показників продукту:</w:t>
      </w:r>
    </w:p>
    <w:p w:rsidR="008E4CC5" w:rsidRPr="0067697E" w:rsidRDefault="008E4CC5" w:rsidP="008E4CC5">
      <w:pPr>
        <w:pStyle w:val="a4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продукту «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к</w:t>
      </w:r>
      <w:r w:rsidRPr="008E4CC5">
        <w:rPr>
          <w:rFonts w:ascii="Times New Roman" w:eastAsia="Arial" w:hAnsi="Times New Roman" w:cs="Times New Roman"/>
          <w:sz w:val="28"/>
          <w:szCs w:val="28"/>
        </w:rPr>
        <w:t>ількість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безробітних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які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беруть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участь в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проведенні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громадських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для врахування гендерних аспектів доповнити текстом такого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місту «в тому числі 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жінок»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E4CC5" w:rsidRDefault="008E4CC5" w:rsidP="003843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C17" w:rsidRPr="0067697E" w:rsidRDefault="003843CA" w:rsidP="003843C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97E">
        <w:rPr>
          <w:rFonts w:ascii="Times New Roman" w:hAnsi="Times New Roman" w:cs="Times New Roman"/>
          <w:sz w:val="28"/>
          <w:szCs w:val="28"/>
          <w:lang w:val="uk-UA"/>
        </w:rPr>
        <w:t>пропозиції щодо вн</w:t>
      </w:r>
      <w:r w:rsidR="008E4CC5">
        <w:rPr>
          <w:rFonts w:ascii="Times New Roman" w:hAnsi="Times New Roman" w:cs="Times New Roman"/>
          <w:sz w:val="28"/>
          <w:szCs w:val="28"/>
          <w:lang w:val="uk-UA"/>
        </w:rPr>
        <w:t>есення змін до показників ефективності</w:t>
      </w:r>
      <w:r w:rsidRPr="0067697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3AD3" w:rsidRPr="0067697E" w:rsidRDefault="008E4CC5" w:rsidP="00574C8A">
      <w:pPr>
        <w:pStyle w:val="a4"/>
        <w:numPr>
          <w:ilvl w:val="0"/>
          <w:numId w:val="2"/>
        </w:num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ефективності</w:t>
      </w:r>
      <w:r w:rsidR="006A3AD3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05B" w:rsidRPr="0067697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середні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витрати</w:t>
      </w:r>
      <w:proofErr w:type="spellEnd"/>
      <w:r w:rsidRPr="008E4CC5">
        <w:rPr>
          <w:rFonts w:ascii="Times New Roman" w:eastAsia="Arial" w:hAnsi="Times New Roman" w:cs="Times New Roman"/>
          <w:sz w:val="28"/>
          <w:szCs w:val="28"/>
        </w:rPr>
        <w:t xml:space="preserve"> на одного </w:t>
      </w:r>
      <w:proofErr w:type="spellStart"/>
      <w:r w:rsidRPr="008E4CC5">
        <w:rPr>
          <w:rFonts w:ascii="Times New Roman" w:eastAsia="Arial" w:hAnsi="Times New Roman" w:cs="Times New Roman"/>
          <w:sz w:val="28"/>
          <w:szCs w:val="28"/>
        </w:rPr>
        <w:t>безробітного</w:t>
      </w:r>
      <w:proofErr w:type="spellEnd"/>
      <w:r w:rsidR="0040105B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» - для врахування гендерних аспектів доповнити текстом такого змісту «в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0105B" w:rsidRPr="00676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безробітних </w:t>
      </w:r>
      <w:r w:rsidR="0040105B" w:rsidRPr="0067697E">
        <w:rPr>
          <w:rFonts w:ascii="Times New Roman" w:hAnsi="Times New Roman" w:cs="Times New Roman"/>
          <w:sz w:val="28"/>
          <w:szCs w:val="28"/>
          <w:lang w:val="uk-UA"/>
        </w:rPr>
        <w:t>жінок»</w:t>
      </w:r>
      <w:r w:rsidR="006A3AD3" w:rsidRPr="006769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F8F" w:rsidRPr="00364C23" w:rsidRDefault="00292F8F" w:rsidP="00D2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F20D1" w:rsidRPr="0001198D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заходи з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подальшого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гендерно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орієнтованого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підходу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в бюджетному </w:t>
      </w:r>
      <w:proofErr w:type="spellStart"/>
      <w:r w:rsidRPr="0001198D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проведення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гендерного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аналізу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або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її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окремих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завдань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напрямів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використання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коштів,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послуг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надаються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межах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бюджетної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програми</w:t>
      </w:r>
      <w:proofErr w:type="spellEnd"/>
      <w:r w:rsidRPr="0001198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9B1541"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011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41" w:rsidRPr="0001198D" w:rsidRDefault="009B1541" w:rsidP="009B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подальшого впровадження та застосування гендерно орієнтованого підходу в бюджетному процесі: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пропозицій змін до результативних показників за бюджетною програмою;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паспорту бюджетної програми відповідно до пропозицій;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врахування гендерних аспектів у внутрішній статистичній та іншій документації, внутрішніх інформаціях, тощо, що стосуються бюджетної програми;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розширення переліку внутрішніх статистичних даних, форм звітності із застосуванням гендерного підходу;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достовірного обліку за такими формами;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моніторингу бюджетної програми з застосуванням гендерного підходу;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планування видатків за бюджетною програмою враховуючи гендерні аспекти;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в подальшому гендерного аналізу бюджетної програми за відповідний бюджетний період з  врахуванням внесених змін (якщо вони враховані та внесені) та порівнянням з попереднім аналізом;</w:t>
      </w:r>
    </w:p>
    <w:p w:rsidR="00E441C6" w:rsidRPr="0001198D" w:rsidRDefault="00E441C6" w:rsidP="00E441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98D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висновків в результаті проведеної роботи та прийняття відповідних управлінських рішень.</w:t>
      </w:r>
    </w:p>
    <w:p w:rsidR="00034D79" w:rsidRPr="00364C23" w:rsidRDefault="00034D79" w:rsidP="00034D79">
      <w:pPr>
        <w:pStyle w:val="a4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3801D7" w:rsidRPr="008F61E5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  <w:lang w:val="uk-UA"/>
        </w:rPr>
      </w:pPr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 з посилення гендерної рівності (</w:t>
      </w:r>
      <w:r w:rsidRPr="008F61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шляхи</w:t>
      </w:r>
      <w:r w:rsidRPr="008F61E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F61E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зменшення гендерних розривів, усунення гендерної дискримінації, забезпечення потреб, задоволення інтересів жінок і чоловіків та/або їх груп)</w:t>
      </w:r>
      <w:r w:rsidR="003801D7"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AA5D5F" w:rsidRPr="008F61E5" w:rsidRDefault="005103D9" w:rsidP="006F1293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Пропонуються наступні заходи щодо посилення гендерної рівності:</w:t>
      </w:r>
      <w:r w:rsidR="008204CB"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F20D1" w:rsidRPr="008F61E5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подальше забезпечення рів</w:t>
      </w:r>
      <w:r w:rsidR="004F5D1E"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ного доступу до </w:t>
      </w:r>
      <w:r w:rsidR="004F1CC9">
        <w:rPr>
          <w:rFonts w:ascii="Times New Roman" w:hAnsi="Times New Roman" w:cs="Times New Roman"/>
          <w:sz w:val="28"/>
          <w:szCs w:val="28"/>
          <w:lang w:val="uk-UA"/>
        </w:rPr>
        <w:t>послуги з організації та проведення громадських робіт</w:t>
      </w:r>
      <w:bookmarkStart w:id="20" w:name="_GoBack"/>
      <w:bookmarkEnd w:id="20"/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94003" w:rsidRPr="008F61E5" w:rsidRDefault="00E94003" w:rsidP="00E94003">
      <w:pPr>
        <w:pStyle w:val="a4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</w:t>
      </w:r>
      <w:r w:rsidR="006C3CAE"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збалансуванню наданню послуг </w:t>
      </w:r>
      <w:r w:rsidRPr="008F61E5">
        <w:rPr>
          <w:rFonts w:ascii="Times New Roman" w:eastAsia="Times New Roman" w:hAnsi="Times New Roman" w:cs="Times New Roman"/>
          <w:sz w:val="28"/>
          <w:szCs w:val="28"/>
          <w:lang w:val="uk-UA"/>
        </w:rPr>
        <w:t>задля уникнення нерівності та дискримінаційних практик.</w:t>
      </w:r>
    </w:p>
    <w:p w:rsidR="00E94003" w:rsidRPr="00364C23" w:rsidRDefault="00E94003" w:rsidP="00E94003">
      <w:pPr>
        <w:spacing w:after="0" w:line="240" w:lineRule="auto"/>
        <w:ind w:left="10"/>
        <w:jc w:val="both"/>
        <w:rPr>
          <w:sz w:val="28"/>
          <w:szCs w:val="28"/>
          <w:highlight w:val="yellow"/>
          <w:lang w:val="uk-UA"/>
        </w:rPr>
      </w:pPr>
    </w:p>
    <w:p w:rsidR="00BF20D1" w:rsidRPr="004A20BE" w:rsidRDefault="00665601" w:rsidP="002E1C88">
      <w:pPr>
        <w:numPr>
          <w:ilvl w:val="0"/>
          <w:numId w:val="2"/>
        </w:numPr>
        <w:spacing w:after="0" w:line="240" w:lineRule="auto"/>
        <w:ind w:left="0" w:hanging="10"/>
        <w:jc w:val="both"/>
        <w:rPr>
          <w:sz w:val="28"/>
          <w:szCs w:val="28"/>
        </w:rPr>
      </w:pP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обробки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20B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та/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перегляд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існуючих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форм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статистичної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адміністративної</w:t>
      </w:r>
      <w:proofErr w:type="spellEnd"/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A20BE">
        <w:rPr>
          <w:rFonts w:ascii="Times New Roman" w:eastAsia="Times New Roman" w:hAnsi="Times New Roman" w:cs="Times New Roman"/>
          <w:sz w:val="28"/>
          <w:szCs w:val="28"/>
        </w:rPr>
        <w:t>звітності</w:t>
      </w:r>
      <w:proofErr w:type="spellEnd"/>
      <w:r w:rsidR="001E5398"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4A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5398" w:rsidRPr="004A20BE" w:rsidRDefault="001E5398" w:rsidP="001E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Пропозиції щодо удосконалення процесу збору та обробки даних, запровадження нових та/або перегляд існуючих форм статистичної та адміністративної звітності:</w:t>
      </w:r>
    </w:p>
    <w:p w:rsidR="00AE197F" w:rsidRPr="004A20BE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розширити наявні внутрішні форми обліку показниками з врахуванням гендерного підходу (за ст</w:t>
      </w:r>
      <w:r w:rsidR="004A20BE"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аттю, за віком</w:t>
      </w: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, за географічною ознакою</w:t>
      </w:r>
      <w:r w:rsidR="004A20BE"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, тощо</w:t>
      </w: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AE197F" w:rsidRPr="004A20BE" w:rsidRDefault="00AE197F" w:rsidP="00AE197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розробити внутрішні форми запитів на інформацію, що стосується гендерних показників за галузями з метою впорядкування процесу збору інформації;</w:t>
      </w:r>
    </w:p>
    <w:p w:rsidR="00BF20D1" w:rsidRPr="004A20BE" w:rsidRDefault="00AE197F" w:rsidP="00A04AFB">
      <w:pPr>
        <w:pStyle w:val="a4"/>
        <w:numPr>
          <w:ilvl w:val="0"/>
          <w:numId w:val="2"/>
        </w:numPr>
        <w:spacing w:after="0" w:line="240" w:lineRule="auto"/>
        <w:ind w:hanging="10"/>
        <w:jc w:val="both"/>
        <w:rPr>
          <w:sz w:val="28"/>
          <w:szCs w:val="28"/>
        </w:rPr>
      </w:pPr>
      <w:r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ведення достовірного внутрішнього обліку (статистичного, адміністративного, по господарського, управлінського, фінансового, бухгалтерського, тощо)</w:t>
      </w:r>
      <w:r w:rsidR="00D11A16" w:rsidRPr="004A20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BF20D1" w:rsidRPr="004A20BE" w:rsidSect="002E1C88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4AB1"/>
    <w:multiLevelType w:val="hybridMultilevel"/>
    <w:tmpl w:val="0144ECE4"/>
    <w:lvl w:ilvl="0" w:tplc="153AC75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B555D4"/>
    <w:multiLevelType w:val="hybridMultilevel"/>
    <w:tmpl w:val="B11635B0"/>
    <w:lvl w:ilvl="0" w:tplc="FF10D3E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14342B"/>
    <w:multiLevelType w:val="hybridMultilevel"/>
    <w:tmpl w:val="5044D846"/>
    <w:lvl w:ilvl="0" w:tplc="906ADA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5501"/>
    <w:multiLevelType w:val="hybridMultilevel"/>
    <w:tmpl w:val="9B604A66"/>
    <w:lvl w:ilvl="0" w:tplc="A9DA9DA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6B7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F4BE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BD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CEA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38B9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E08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E9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CE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1A7995"/>
    <w:multiLevelType w:val="hybridMultilevel"/>
    <w:tmpl w:val="3FE6C7DC"/>
    <w:lvl w:ilvl="0" w:tplc="F8E61A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EFE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E3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7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5ACA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E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4E94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0E5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1"/>
    <w:rsid w:val="00000556"/>
    <w:rsid w:val="0000177C"/>
    <w:rsid w:val="00002671"/>
    <w:rsid w:val="0000583D"/>
    <w:rsid w:val="000063AA"/>
    <w:rsid w:val="00010B8E"/>
    <w:rsid w:val="0001198D"/>
    <w:rsid w:val="000155B0"/>
    <w:rsid w:val="000200D4"/>
    <w:rsid w:val="00026623"/>
    <w:rsid w:val="00032EA8"/>
    <w:rsid w:val="00034D79"/>
    <w:rsid w:val="00035B56"/>
    <w:rsid w:val="000374BB"/>
    <w:rsid w:val="00042195"/>
    <w:rsid w:val="00043D11"/>
    <w:rsid w:val="0004471C"/>
    <w:rsid w:val="000458DB"/>
    <w:rsid w:val="00046C17"/>
    <w:rsid w:val="00046FD0"/>
    <w:rsid w:val="00054A3A"/>
    <w:rsid w:val="000556AA"/>
    <w:rsid w:val="00057243"/>
    <w:rsid w:val="00060582"/>
    <w:rsid w:val="000621FC"/>
    <w:rsid w:val="00066C30"/>
    <w:rsid w:val="00066D1B"/>
    <w:rsid w:val="00067B6A"/>
    <w:rsid w:val="000741E3"/>
    <w:rsid w:val="000801D3"/>
    <w:rsid w:val="00084670"/>
    <w:rsid w:val="000853A5"/>
    <w:rsid w:val="00086E2C"/>
    <w:rsid w:val="00087BB1"/>
    <w:rsid w:val="00095D1A"/>
    <w:rsid w:val="000A128F"/>
    <w:rsid w:val="000A3994"/>
    <w:rsid w:val="000B091B"/>
    <w:rsid w:val="000B5F09"/>
    <w:rsid w:val="000B66D6"/>
    <w:rsid w:val="000C32A0"/>
    <w:rsid w:val="000C3651"/>
    <w:rsid w:val="000C3B68"/>
    <w:rsid w:val="000D05DF"/>
    <w:rsid w:val="000D391D"/>
    <w:rsid w:val="000D43E5"/>
    <w:rsid w:val="000D6E21"/>
    <w:rsid w:val="000E1022"/>
    <w:rsid w:val="000F02C3"/>
    <w:rsid w:val="000F04B1"/>
    <w:rsid w:val="000F2783"/>
    <w:rsid w:val="000F63BC"/>
    <w:rsid w:val="000F7AA7"/>
    <w:rsid w:val="001014E8"/>
    <w:rsid w:val="001050E9"/>
    <w:rsid w:val="00105AD2"/>
    <w:rsid w:val="001072F3"/>
    <w:rsid w:val="00107900"/>
    <w:rsid w:val="0011096F"/>
    <w:rsid w:val="001117F4"/>
    <w:rsid w:val="00112FB8"/>
    <w:rsid w:val="0011355A"/>
    <w:rsid w:val="001219A1"/>
    <w:rsid w:val="00122D3F"/>
    <w:rsid w:val="00123F13"/>
    <w:rsid w:val="00124455"/>
    <w:rsid w:val="00127648"/>
    <w:rsid w:val="001320E8"/>
    <w:rsid w:val="00137EBB"/>
    <w:rsid w:val="00145650"/>
    <w:rsid w:val="00145ADF"/>
    <w:rsid w:val="00147F5F"/>
    <w:rsid w:val="00150A7E"/>
    <w:rsid w:val="00150C4B"/>
    <w:rsid w:val="0015373B"/>
    <w:rsid w:val="001554C3"/>
    <w:rsid w:val="0016043A"/>
    <w:rsid w:val="0016181F"/>
    <w:rsid w:val="001625EB"/>
    <w:rsid w:val="0016570B"/>
    <w:rsid w:val="00165E14"/>
    <w:rsid w:val="00170B6E"/>
    <w:rsid w:val="001732BF"/>
    <w:rsid w:val="0017461E"/>
    <w:rsid w:val="00180261"/>
    <w:rsid w:val="001816B5"/>
    <w:rsid w:val="00187D96"/>
    <w:rsid w:val="00190093"/>
    <w:rsid w:val="001934F5"/>
    <w:rsid w:val="00194437"/>
    <w:rsid w:val="00196FD3"/>
    <w:rsid w:val="001A1D3F"/>
    <w:rsid w:val="001A20D6"/>
    <w:rsid w:val="001A4841"/>
    <w:rsid w:val="001A592C"/>
    <w:rsid w:val="001B019B"/>
    <w:rsid w:val="001B49DE"/>
    <w:rsid w:val="001B5892"/>
    <w:rsid w:val="001B5D3B"/>
    <w:rsid w:val="001B7013"/>
    <w:rsid w:val="001B775C"/>
    <w:rsid w:val="001C1F0F"/>
    <w:rsid w:val="001C24B7"/>
    <w:rsid w:val="001C277C"/>
    <w:rsid w:val="001C2CCA"/>
    <w:rsid w:val="001D12BF"/>
    <w:rsid w:val="001D47CD"/>
    <w:rsid w:val="001D4A08"/>
    <w:rsid w:val="001D51FE"/>
    <w:rsid w:val="001D7B5D"/>
    <w:rsid w:val="001E29D6"/>
    <w:rsid w:val="001E47D4"/>
    <w:rsid w:val="001E5398"/>
    <w:rsid w:val="001E748B"/>
    <w:rsid w:val="001F0F77"/>
    <w:rsid w:val="001F4F1E"/>
    <w:rsid w:val="002030F3"/>
    <w:rsid w:val="0020383A"/>
    <w:rsid w:val="0020609C"/>
    <w:rsid w:val="002165E3"/>
    <w:rsid w:val="00220238"/>
    <w:rsid w:val="00220EB6"/>
    <w:rsid w:val="0022776E"/>
    <w:rsid w:val="00236064"/>
    <w:rsid w:val="00237C68"/>
    <w:rsid w:val="002520D0"/>
    <w:rsid w:val="00253AA5"/>
    <w:rsid w:val="002548C4"/>
    <w:rsid w:val="00261A06"/>
    <w:rsid w:val="0026272F"/>
    <w:rsid w:val="00262931"/>
    <w:rsid w:val="002657ED"/>
    <w:rsid w:val="00276FFE"/>
    <w:rsid w:val="00277090"/>
    <w:rsid w:val="002834C9"/>
    <w:rsid w:val="00284BF0"/>
    <w:rsid w:val="0029149F"/>
    <w:rsid w:val="00292F8F"/>
    <w:rsid w:val="00293F86"/>
    <w:rsid w:val="002A1135"/>
    <w:rsid w:val="002A1918"/>
    <w:rsid w:val="002B222B"/>
    <w:rsid w:val="002C23A2"/>
    <w:rsid w:val="002C3FCA"/>
    <w:rsid w:val="002C78CE"/>
    <w:rsid w:val="002D038F"/>
    <w:rsid w:val="002D0408"/>
    <w:rsid w:val="002D3FF4"/>
    <w:rsid w:val="002D6B4C"/>
    <w:rsid w:val="002D70AD"/>
    <w:rsid w:val="002D74E2"/>
    <w:rsid w:val="002D7D4E"/>
    <w:rsid w:val="002D7FF2"/>
    <w:rsid w:val="002E1C88"/>
    <w:rsid w:val="002F1ADD"/>
    <w:rsid w:val="002F5C16"/>
    <w:rsid w:val="0030359E"/>
    <w:rsid w:val="00307B7E"/>
    <w:rsid w:val="00310CF5"/>
    <w:rsid w:val="003119C2"/>
    <w:rsid w:val="003125AB"/>
    <w:rsid w:val="00313292"/>
    <w:rsid w:val="0031377B"/>
    <w:rsid w:val="00315AC8"/>
    <w:rsid w:val="00317681"/>
    <w:rsid w:val="00317D22"/>
    <w:rsid w:val="0032314A"/>
    <w:rsid w:val="00332FEB"/>
    <w:rsid w:val="00337228"/>
    <w:rsid w:val="00337F1B"/>
    <w:rsid w:val="00341E91"/>
    <w:rsid w:val="00344C47"/>
    <w:rsid w:val="003520DB"/>
    <w:rsid w:val="003565B4"/>
    <w:rsid w:val="00364C23"/>
    <w:rsid w:val="00365101"/>
    <w:rsid w:val="003709F7"/>
    <w:rsid w:val="00373B60"/>
    <w:rsid w:val="0037529D"/>
    <w:rsid w:val="00376992"/>
    <w:rsid w:val="003801D7"/>
    <w:rsid w:val="0038165A"/>
    <w:rsid w:val="003843CA"/>
    <w:rsid w:val="003876AC"/>
    <w:rsid w:val="00387916"/>
    <w:rsid w:val="00387E36"/>
    <w:rsid w:val="003913ED"/>
    <w:rsid w:val="00396A49"/>
    <w:rsid w:val="00396ED7"/>
    <w:rsid w:val="003A085E"/>
    <w:rsid w:val="003B1A7E"/>
    <w:rsid w:val="003B4731"/>
    <w:rsid w:val="003B4835"/>
    <w:rsid w:val="003B517D"/>
    <w:rsid w:val="003B721F"/>
    <w:rsid w:val="003C0282"/>
    <w:rsid w:val="003C08AC"/>
    <w:rsid w:val="003C2DD8"/>
    <w:rsid w:val="003C4AA0"/>
    <w:rsid w:val="003C6E05"/>
    <w:rsid w:val="003D2CBF"/>
    <w:rsid w:val="003D6469"/>
    <w:rsid w:val="003E2B3C"/>
    <w:rsid w:val="003E5006"/>
    <w:rsid w:val="003E6860"/>
    <w:rsid w:val="003F3BE8"/>
    <w:rsid w:val="003F5106"/>
    <w:rsid w:val="003F54AC"/>
    <w:rsid w:val="003F5E5F"/>
    <w:rsid w:val="003F736A"/>
    <w:rsid w:val="0040105B"/>
    <w:rsid w:val="004021EF"/>
    <w:rsid w:val="004024CB"/>
    <w:rsid w:val="00416616"/>
    <w:rsid w:val="004175FA"/>
    <w:rsid w:val="00417EDF"/>
    <w:rsid w:val="00417F08"/>
    <w:rsid w:val="00420FEE"/>
    <w:rsid w:val="004269EA"/>
    <w:rsid w:val="00432DCB"/>
    <w:rsid w:val="004343CA"/>
    <w:rsid w:val="00447245"/>
    <w:rsid w:val="00447CEB"/>
    <w:rsid w:val="00450498"/>
    <w:rsid w:val="00455EB5"/>
    <w:rsid w:val="00457C22"/>
    <w:rsid w:val="004674E3"/>
    <w:rsid w:val="00467F91"/>
    <w:rsid w:val="004703CC"/>
    <w:rsid w:val="0047243E"/>
    <w:rsid w:val="004745CF"/>
    <w:rsid w:val="00476AC2"/>
    <w:rsid w:val="00480FF4"/>
    <w:rsid w:val="00481285"/>
    <w:rsid w:val="004827EC"/>
    <w:rsid w:val="00483ABA"/>
    <w:rsid w:val="00486ADC"/>
    <w:rsid w:val="004913E0"/>
    <w:rsid w:val="004914DE"/>
    <w:rsid w:val="00495D7A"/>
    <w:rsid w:val="00496DFF"/>
    <w:rsid w:val="00497A6A"/>
    <w:rsid w:val="004A0283"/>
    <w:rsid w:val="004A20BE"/>
    <w:rsid w:val="004A4C28"/>
    <w:rsid w:val="004A6F17"/>
    <w:rsid w:val="004B17A3"/>
    <w:rsid w:val="004B251F"/>
    <w:rsid w:val="004B59D4"/>
    <w:rsid w:val="004B6BB7"/>
    <w:rsid w:val="004C1082"/>
    <w:rsid w:val="004C2069"/>
    <w:rsid w:val="004C72DF"/>
    <w:rsid w:val="004D3F04"/>
    <w:rsid w:val="004D4D3E"/>
    <w:rsid w:val="004E0620"/>
    <w:rsid w:val="004E3B9E"/>
    <w:rsid w:val="004E3BF3"/>
    <w:rsid w:val="004F1CC9"/>
    <w:rsid w:val="004F3853"/>
    <w:rsid w:val="004F4573"/>
    <w:rsid w:val="004F5D1E"/>
    <w:rsid w:val="005007E7"/>
    <w:rsid w:val="00501EA7"/>
    <w:rsid w:val="005043DC"/>
    <w:rsid w:val="00506445"/>
    <w:rsid w:val="00506B96"/>
    <w:rsid w:val="005103D9"/>
    <w:rsid w:val="00511EE9"/>
    <w:rsid w:val="005134A0"/>
    <w:rsid w:val="0051773F"/>
    <w:rsid w:val="005203EF"/>
    <w:rsid w:val="0052086B"/>
    <w:rsid w:val="00522F18"/>
    <w:rsid w:val="00525275"/>
    <w:rsid w:val="00536F71"/>
    <w:rsid w:val="005376DE"/>
    <w:rsid w:val="005415E5"/>
    <w:rsid w:val="0055212B"/>
    <w:rsid w:val="005525F1"/>
    <w:rsid w:val="00555B57"/>
    <w:rsid w:val="00555CC4"/>
    <w:rsid w:val="00561B2C"/>
    <w:rsid w:val="00563614"/>
    <w:rsid w:val="005661B1"/>
    <w:rsid w:val="0057237A"/>
    <w:rsid w:val="005727A4"/>
    <w:rsid w:val="00574C8A"/>
    <w:rsid w:val="00576599"/>
    <w:rsid w:val="00576EB2"/>
    <w:rsid w:val="00582BC0"/>
    <w:rsid w:val="00582FE5"/>
    <w:rsid w:val="00583C84"/>
    <w:rsid w:val="0058441E"/>
    <w:rsid w:val="0058474C"/>
    <w:rsid w:val="00585501"/>
    <w:rsid w:val="00585632"/>
    <w:rsid w:val="00591B29"/>
    <w:rsid w:val="00591F00"/>
    <w:rsid w:val="00595D3A"/>
    <w:rsid w:val="00596769"/>
    <w:rsid w:val="00596778"/>
    <w:rsid w:val="005A1212"/>
    <w:rsid w:val="005A2D35"/>
    <w:rsid w:val="005A4489"/>
    <w:rsid w:val="005A5834"/>
    <w:rsid w:val="005C1767"/>
    <w:rsid w:val="005C5232"/>
    <w:rsid w:val="005C7593"/>
    <w:rsid w:val="005C7DBB"/>
    <w:rsid w:val="005D39A8"/>
    <w:rsid w:val="005E0359"/>
    <w:rsid w:val="005E18D7"/>
    <w:rsid w:val="005E1F0E"/>
    <w:rsid w:val="005E5BBC"/>
    <w:rsid w:val="005E77EB"/>
    <w:rsid w:val="005F0428"/>
    <w:rsid w:val="005F0F4B"/>
    <w:rsid w:val="006046E9"/>
    <w:rsid w:val="006049F4"/>
    <w:rsid w:val="006107EE"/>
    <w:rsid w:val="006132F4"/>
    <w:rsid w:val="00623B9F"/>
    <w:rsid w:val="00623EAE"/>
    <w:rsid w:val="00625514"/>
    <w:rsid w:val="00633DB0"/>
    <w:rsid w:val="00640A21"/>
    <w:rsid w:val="006423C8"/>
    <w:rsid w:val="006426E3"/>
    <w:rsid w:val="00643168"/>
    <w:rsid w:val="00646ACE"/>
    <w:rsid w:val="0065305C"/>
    <w:rsid w:val="006612C9"/>
    <w:rsid w:val="0066345C"/>
    <w:rsid w:val="00665601"/>
    <w:rsid w:val="00665D6F"/>
    <w:rsid w:val="00672BC8"/>
    <w:rsid w:val="00673B56"/>
    <w:rsid w:val="0067546D"/>
    <w:rsid w:val="0067697E"/>
    <w:rsid w:val="00681D73"/>
    <w:rsid w:val="0068216B"/>
    <w:rsid w:val="006827E5"/>
    <w:rsid w:val="00684770"/>
    <w:rsid w:val="00684844"/>
    <w:rsid w:val="00693D0A"/>
    <w:rsid w:val="00694648"/>
    <w:rsid w:val="00694BDE"/>
    <w:rsid w:val="00696811"/>
    <w:rsid w:val="006A12C0"/>
    <w:rsid w:val="006A1EDF"/>
    <w:rsid w:val="006A3AD3"/>
    <w:rsid w:val="006A499F"/>
    <w:rsid w:val="006A6D56"/>
    <w:rsid w:val="006A76DC"/>
    <w:rsid w:val="006B38A7"/>
    <w:rsid w:val="006C1394"/>
    <w:rsid w:val="006C3AAB"/>
    <w:rsid w:val="006C3AC7"/>
    <w:rsid w:val="006C3CAE"/>
    <w:rsid w:val="006C6ECE"/>
    <w:rsid w:val="006D0B67"/>
    <w:rsid w:val="006D22A0"/>
    <w:rsid w:val="006D241D"/>
    <w:rsid w:val="006D4D73"/>
    <w:rsid w:val="006D7692"/>
    <w:rsid w:val="006E26AF"/>
    <w:rsid w:val="006E4620"/>
    <w:rsid w:val="006E5EF0"/>
    <w:rsid w:val="006E63FB"/>
    <w:rsid w:val="006F0EEF"/>
    <w:rsid w:val="006F1293"/>
    <w:rsid w:val="00712FFF"/>
    <w:rsid w:val="00720D6F"/>
    <w:rsid w:val="007233A8"/>
    <w:rsid w:val="00723487"/>
    <w:rsid w:val="00725220"/>
    <w:rsid w:val="00725D52"/>
    <w:rsid w:val="00726ED4"/>
    <w:rsid w:val="0073280E"/>
    <w:rsid w:val="0074129C"/>
    <w:rsid w:val="00743266"/>
    <w:rsid w:val="0074370A"/>
    <w:rsid w:val="00751BB3"/>
    <w:rsid w:val="00752887"/>
    <w:rsid w:val="007539D6"/>
    <w:rsid w:val="00753BF1"/>
    <w:rsid w:val="00755D4D"/>
    <w:rsid w:val="00757E21"/>
    <w:rsid w:val="007600E5"/>
    <w:rsid w:val="00761500"/>
    <w:rsid w:val="00766141"/>
    <w:rsid w:val="00766B6D"/>
    <w:rsid w:val="00770E12"/>
    <w:rsid w:val="00771DF0"/>
    <w:rsid w:val="007740BF"/>
    <w:rsid w:val="00775F81"/>
    <w:rsid w:val="00783298"/>
    <w:rsid w:val="007919B8"/>
    <w:rsid w:val="00792606"/>
    <w:rsid w:val="007927A5"/>
    <w:rsid w:val="0079380B"/>
    <w:rsid w:val="00794411"/>
    <w:rsid w:val="007A49B5"/>
    <w:rsid w:val="007A6991"/>
    <w:rsid w:val="007A6E13"/>
    <w:rsid w:val="007B227B"/>
    <w:rsid w:val="007B29C0"/>
    <w:rsid w:val="007B3012"/>
    <w:rsid w:val="007B3CDA"/>
    <w:rsid w:val="007B47DD"/>
    <w:rsid w:val="007B5E19"/>
    <w:rsid w:val="007B6BC6"/>
    <w:rsid w:val="007B6F56"/>
    <w:rsid w:val="007B75B7"/>
    <w:rsid w:val="007C0894"/>
    <w:rsid w:val="007C19CB"/>
    <w:rsid w:val="007C49F7"/>
    <w:rsid w:val="007C5F10"/>
    <w:rsid w:val="007C66AB"/>
    <w:rsid w:val="007D2BC1"/>
    <w:rsid w:val="007D34B9"/>
    <w:rsid w:val="007D6E42"/>
    <w:rsid w:val="007E0F4D"/>
    <w:rsid w:val="007F03B9"/>
    <w:rsid w:val="007F72DA"/>
    <w:rsid w:val="008013FF"/>
    <w:rsid w:val="008026E5"/>
    <w:rsid w:val="0080672F"/>
    <w:rsid w:val="008075EF"/>
    <w:rsid w:val="0081154D"/>
    <w:rsid w:val="00812875"/>
    <w:rsid w:val="0081479A"/>
    <w:rsid w:val="00814874"/>
    <w:rsid w:val="008156E1"/>
    <w:rsid w:val="008204CB"/>
    <w:rsid w:val="0082305B"/>
    <w:rsid w:val="0082609B"/>
    <w:rsid w:val="00827494"/>
    <w:rsid w:val="00834EC2"/>
    <w:rsid w:val="008369BC"/>
    <w:rsid w:val="008400A1"/>
    <w:rsid w:val="008424F4"/>
    <w:rsid w:val="00843D78"/>
    <w:rsid w:val="00843EF1"/>
    <w:rsid w:val="00851750"/>
    <w:rsid w:val="008531E1"/>
    <w:rsid w:val="008536A3"/>
    <w:rsid w:val="00857186"/>
    <w:rsid w:val="00857F35"/>
    <w:rsid w:val="00860802"/>
    <w:rsid w:val="00861815"/>
    <w:rsid w:val="00870C3A"/>
    <w:rsid w:val="00871BE8"/>
    <w:rsid w:val="0087608D"/>
    <w:rsid w:val="0087654D"/>
    <w:rsid w:val="008817DF"/>
    <w:rsid w:val="00881DC9"/>
    <w:rsid w:val="00883BC0"/>
    <w:rsid w:val="00884112"/>
    <w:rsid w:val="0088415A"/>
    <w:rsid w:val="008874F8"/>
    <w:rsid w:val="00887585"/>
    <w:rsid w:val="0089421A"/>
    <w:rsid w:val="008A19E9"/>
    <w:rsid w:val="008A27B2"/>
    <w:rsid w:val="008A398E"/>
    <w:rsid w:val="008A573A"/>
    <w:rsid w:val="008B5E86"/>
    <w:rsid w:val="008B7847"/>
    <w:rsid w:val="008C7484"/>
    <w:rsid w:val="008D164E"/>
    <w:rsid w:val="008D5AB5"/>
    <w:rsid w:val="008D5D2E"/>
    <w:rsid w:val="008D747F"/>
    <w:rsid w:val="008E17A6"/>
    <w:rsid w:val="008E186D"/>
    <w:rsid w:val="008E305E"/>
    <w:rsid w:val="008E4CC5"/>
    <w:rsid w:val="008E5F4D"/>
    <w:rsid w:val="008E611F"/>
    <w:rsid w:val="008E6ACC"/>
    <w:rsid w:val="008F04BA"/>
    <w:rsid w:val="008F05AA"/>
    <w:rsid w:val="008F3C7C"/>
    <w:rsid w:val="008F61E5"/>
    <w:rsid w:val="008F6B82"/>
    <w:rsid w:val="009003AC"/>
    <w:rsid w:val="00902263"/>
    <w:rsid w:val="0090440B"/>
    <w:rsid w:val="0090797B"/>
    <w:rsid w:val="009204F0"/>
    <w:rsid w:val="009223CC"/>
    <w:rsid w:val="00922CF0"/>
    <w:rsid w:val="00925CDA"/>
    <w:rsid w:val="009263CE"/>
    <w:rsid w:val="009331EA"/>
    <w:rsid w:val="00936F81"/>
    <w:rsid w:val="00943AEC"/>
    <w:rsid w:val="00945423"/>
    <w:rsid w:val="00945726"/>
    <w:rsid w:val="0094673F"/>
    <w:rsid w:val="00951247"/>
    <w:rsid w:val="009608BF"/>
    <w:rsid w:val="00961290"/>
    <w:rsid w:val="00961F8F"/>
    <w:rsid w:val="0096324C"/>
    <w:rsid w:val="009633A6"/>
    <w:rsid w:val="00965DBD"/>
    <w:rsid w:val="009663B6"/>
    <w:rsid w:val="00967A40"/>
    <w:rsid w:val="00971B3C"/>
    <w:rsid w:val="00973E8A"/>
    <w:rsid w:val="00974370"/>
    <w:rsid w:val="009756DF"/>
    <w:rsid w:val="00981965"/>
    <w:rsid w:val="00981E4A"/>
    <w:rsid w:val="009877E7"/>
    <w:rsid w:val="00992D4D"/>
    <w:rsid w:val="009A29CC"/>
    <w:rsid w:val="009A58F7"/>
    <w:rsid w:val="009A64BA"/>
    <w:rsid w:val="009B071F"/>
    <w:rsid w:val="009B0AAB"/>
    <w:rsid w:val="009B1541"/>
    <w:rsid w:val="009B1E14"/>
    <w:rsid w:val="009B577F"/>
    <w:rsid w:val="009C0BD7"/>
    <w:rsid w:val="009C1587"/>
    <w:rsid w:val="009C188A"/>
    <w:rsid w:val="009C1DFD"/>
    <w:rsid w:val="009C2644"/>
    <w:rsid w:val="009C51D2"/>
    <w:rsid w:val="009C6948"/>
    <w:rsid w:val="009C7607"/>
    <w:rsid w:val="009D0AC2"/>
    <w:rsid w:val="009D221C"/>
    <w:rsid w:val="009D3580"/>
    <w:rsid w:val="009D3F3F"/>
    <w:rsid w:val="009E03B4"/>
    <w:rsid w:val="009E1063"/>
    <w:rsid w:val="009E13B4"/>
    <w:rsid w:val="009E2CD2"/>
    <w:rsid w:val="009E32F0"/>
    <w:rsid w:val="009E42CA"/>
    <w:rsid w:val="009F2369"/>
    <w:rsid w:val="009F4DE5"/>
    <w:rsid w:val="009F4FE5"/>
    <w:rsid w:val="009F555F"/>
    <w:rsid w:val="009F5C05"/>
    <w:rsid w:val="009F710B"/>
    <w:rsid w:val="00A02478"/>
    <w:rsid w:val="00A13E66"/>
    <w:rsid w:val="00A241EE"/>
    <w:rsid w:val="00A34DFC"/>
    <w:rsid w:val="00A3790E"/>
    <w:rsid w:val="00A40F9C"/>
    <w:rsid w:val="00A46328"/>
    <w:rsid w:val="00A6242D"/>
    <w:rsid w:val="00A63409"/>
    <w:rsid w:val="00A63666"/>
    <w:rsid w:val="00A63878"/>
    <w:rsid w:val="00A64F19"/>
    <w:rsid w:val="00A65706"/>
    <w:rsid w:val="00A663A3"/>
    <w:rsid w:val="00A665C5"/>
    <w:rsid w:val="00A671B7"/>
    <w:rsid w:val="00A72C40"/>
    <w:rsid w:val="00A739D1"/>
    <w:rsid w:val="00A76745"/>
    <w:rsid w:val="00A87FD7"/>
    <w:rsid w:val="00A945D6"/>
    <w:rsid w:val="00A9600F"/>
    <w:rsid w:val="00A97BF1"/>
    <w:rsid w:val="00AA0472"/>
    <w:rsid w:val="00AA0DC8"/>
    <w:rsid w:val="00AA1039"/>
    <w:rsid w:val="00AA4E1E"/>
    <w:rsid w:val="00AA5D5F"/>
    <w:rsid w:val="00AA601C"/>
    <w:rsid w:val="00AB17FD"/>
    <w:rsid w:val="00AC0803"/>
    <w:rsid w:val="00AC17D9"/>
    <w:rsid w:val="00AC3BB8"/>
    <w:rsid w:val="00AC3F86"/>
    <w:rsid w:val="00AC5196"/>
    <w:rsid w:val="00AC6D9F"/>
    <w:rsid w:val="00AD0A06"/>
    <w:rsid w:val="00AD1A06"/>
    <w:rsid w:val="00AD31DB"/>
    <w:rsid w:val="00AD68C6"/>
    <w:rsid w:val="00AE10B9"/>
    <w:rsid w:val="00AE197F"/>
    <w:rsid w:val="00AE3A45"/>
    <w:rsid w:val="00AE3B1F"/>
    <w:rsid w:val="00AE4D5A"/>
    <w:rsid w:val="00AF1F9D"/>
    <w:rsid w:val="00AF4BD3"/>
    <w:rsid w:val="00AF4D1A"/>
    <w:rsid w:val="00AF5CB6"/>
    <w:rsid w:val="00AF6F0F"/>
    <w:rsid w:val="00B01787"/>
    <w:rsid w:val="00B034AE"/>
    <w:rsid w:val="00B04A1B"/>
    <w:rsid w:val="00B06A97"/>
    <w:rsid w:val="00B16A5F"/>
    <w:rsid w:val="00B17143"/>
    <w:rsid w:val="00B212CF"/>
    <w:rsid w:val="00B21857"/>
    <w:rsid w:val="00B34115"/>
    <w:rsid w:val="00B355BE"/>
    <w:rsid w:val="00B403B5"/>
    <w:rsid w:val="00B40AAB"/>
    <w:rsid w:val="00B43AC4"/>
    <w:rsid w:val="00B43DF5"/>
    <w:rsid w:val="00B46F15"/>
    <w:rsid w:val="00B4735A"/>
    <w:rsid w:val="00B47B6D"/>
    <w:rsid w:val="00B514BA"/>
    <w:rsid w:val="00B51A49"/>
    <w:rsid w:val="00B51FC5"/>
    <w:rsid w:val="00B5249E"/>
    <w:rsid w:val="00B57380"/>
    <w:rsid w:val="00B62543"/>
    <w:rsid w:val="00B63AFB"/>
    <w:rsid w:val="00B65852"/>
    <w:rsid w:val="00B672CE"/>
    <w:rsid w:val="00B703C7"/>
    <w:rsid w:val="00B71725"/>
    <w:rsid w:val="00B738BB"/>
    <w:rsid w:val="00B74510"/>
    <w:rsid w:val="00B77EA6"/>
    <w:rsid w:val="00B80EE6"/>
    <w:rsid w:val="00B869F5"/>
    <w:rsid w:val="00B87AAB"/>
    <w:rsid w:val="00B90EFE"/>
    <w:rsid w:val="00B912BF"/>
    <w:rsid w:val="00B91F82"/>
    <w:rsid w:val="00B93838"/>
    <w:rsid w:val="00B94D2E"/>
    <w:rsid w:val="00B95888"/>
    <w:rsid w:val="00B97265"/>
    <w:rsid w:val="00BA199C"/>
    <w:rsid w:val="00BA355C"/>
    <w:rsid w:val="00BA3ED9"/>
    <w:rsid w:val="00BA7AFD"/>
    <w:rsid w:val="00BB127B"/>
    <w:rsid w:val="00BB1B77"/>
    <w:rsid w:val="00BB3211"/>
    <w:rsid w:val="00BB4743"/>
    <w:rsid w:val="00BB52B3"/>
    <w:rsid w:val="00BC2493"/>
    <w:rsid w:val="00BC7236"/>
    <w:rsid w:val="00BD3B02"/>
    <w:rsid w:val="00BD5CAA"/>
    <w:rsid w:val="00BD79D6"/>
    <w:rsid w:val="00BD7F4B"/>
    <w:rsid w:val="00BE14E4"/>
    <w:rsid w:val="00BE6E55"/>
    <w:rsid w:val="00BF1D13"/>
    <w:rsid w:val="00BF20D1"/>
    <w:rsid w:val="00BF39B2"/>
    <w:rsid w:val="00BF4040"/>
    <w:rsid w:val="00BF4A6E"/>
    <w:rsid w:val="00BF4B57"/>
    <w:rsid w:val="00BF582F"/>
    <w:rsid w:val="00BF6FA4"/>
    <w:rsid w:val="00C00091"/>
    <w:rsid w:val="00C00E0E"/>
    <w:rsid w:val="00C04C3C"/>
    <w:rsid w:val="00C11636"/>
    <w:rsid w:val="00C11878"/>
    <w:rsid w:val="00C11F34"/>
    <w:rsid w:val="00C12D15"/>
    <w:rsid w:val="00C14C75"/>
    <w:rsid w:val="00C2209B"/>
    <w:rsid w:val="00C225B3"/>
    <w:rsid w:val="00C22FED"/>
    <w:rsid w:val="00C26F82"/>
    <w:rsid w:val="00C30222"/>
    <w:rsid w:val="00C356CD"/>
    <w:rsid w:val="00C40CD2"/>
    <w:rsid w:val="00C41004"/>
    <w:rsid w:val="00C42FCF"/>
    <w:rsid w:val="00C45355"/>
    <w:rsid w:val="00C45484"/>
    <w:rsid w:val="00C476C0"/>
    <w:rsid w:val="00C52C54"/>
    <w:rsid w:val="00C5727D"/>
    <w:rsid w:val="00C6056B"/>
    <w:rsid w:val="00C6441E"/>
    <w:rsid w:val="00C64C67"/>
    <w:rsid w:val="00C74FEA"/>
    <w:rsid w:val="00C75C2E"/>
    <w:rsid w:val="00C765A0"/>
    <w:rsid w:val="00C778F4"/>
    <w:rsid w:val="00C82A55"/>
    <w:rsid w:val="00C830AF"/>
    <w:rsid w:val="00C834E9"/>
    <w:rsid w:val="00C84FC9"/>
    <w:rsid w:val="00C8560F"/>
    <w:rsid w:val="00C86A17"/>
    <w:rsid w:val="00C86AE8"/>
    <w:rsid w:val="00C92CB5"/>
    <w:rsid w:val="00C92FD5"/>
    <w:rsid w:val="00C9336F"/>
    <w:rsid w:val="00C955CE"/>
    <w:rsid w:val="00C959AE"/>
    <w:rsid w:val="00C971DD"/>
    <w:rsid w:val="00C971FD"/>
    <w:rsid w:val="00CA2A3B"/>
    <w:rsid w:val="00CA2B63"/>
    <w:rsid w:val="00CA4AE0"/>
    <w:rsid w:val="00CA5129"/>
    <w:rsid w:val="00CA7903"/>
    <w:rsid w:val="00CB1396"/>
    <w:rsid w:val="00CB40E3"/>
    <w:rsid w:val="00CB6AE7"/>
    <w:rsid w:val="00CC0523"/>
    <w:rsid w:val="00CC6CAD"/>
    <w:rsid w:val="00CD0F6A"/>
    <w:rsid w:val="00CD34C4"/>
    <w:rsid w:val="00CD560E"/>
    <w:rsid w:val="00CE007B"/>
    <w:rsid w:val="00CE49B4"/>
    <w:rsid w:val="00CF5982"/>
    <w:rsid w:val="00D00FFB"/>
    <w:rsid w:val="00D057EF"/>
    <w:rsid w:val="00D11A16"/>
    <w:rsid w:val="00D12D8D"/>
    <w:rsid w:val="00D15AEF"/>
    <w:rsid w:val="00D20EF7"/>
    <w:rsid w:val="00D23946"/>
    <w:rsid w:val="00D23E78"/>
    <w:rsid w:val="00D24860"/>
    <w:rsid w:val="00D24BF9"/>
    <w:rsid w:val="00D31CD5"/>
    <w:rsid w:val="00D437D6"/>
    <w:rsid w:val="00D44DDB"/>
    <w:rsid w:val="00D451BB"/>
    <w:rsid w:val="00D50F42"/>
    <w:rsid w:val="00D535A9"/>
    <w:rsid w:val="00D56113"/>
    <w:rsid w:val="00D57E62"/>
    <w:rsid w:val="00D60BB9"/>
    <w:rsid w:val="00D60C3D"/>
    <w:rsid w:val="00D61040"/>
    <w:rsid w:val="00D628DB"/>
    <w:rsid w:val="00D66ED4"/>
    <w:rsid w:val="00D67491"/>
    <w:rsid w:val="00D750A4"/>
    <w:rsid w:val="00D770DE"/>
    <w:rsid w:val="00D77386"/>
    <w:rsid w:val="00D84902"/>
    <w:rsid w:val="00D87C30"/>
    <w:rsid w:val="00D91CF0"/>
    <w:rsid w:val="00D91D81"/>
    <w:rsid w:val="00D92490"/>
    <w:rsid w:val="00D9333B"/>
    <w:rsid w:val="00D95CFD"/>
    <w:rsid w:val="00D97562"/>
    <w:rsid w:val="00DA4EDB"/>
    <w:rsid w:val="00DA5BA0"/>
    <w:rsid w:val="00DB3445"/>
    <w:rsid w:val="00DB4EAE"/>
    <w:rsid w:val="00DB772F"/>
    <w:rsid w:val="00DC1B60"/>
    <w:rsid w:val="00DC3E4F"/>
    <w:rsid w:val="00DC41B9"/>
    <w:rsid w:val="00DC447E"/>
    <w:rsid w:val="00DC772D"/>
    <w:rsid w:val="00DD2836"/>
    <w:rsid w:val="00DE071E"/>
    <w:rsid w:val="00DE6F25"/>
    <w:rsid w:val="00DF2720"/>
    <w:rsid w:val="00DF2D18"/>
    <w:rsid w:val="00DF4500"/>
    <w:rsid w:val="00DF4DD5"/>
    <w:rsid w:val="00DF64C2"/>
    <w:rsid w:val="00DF70F6"/>
    <w:rsid w:val="00E04B06"/>
    <w:rsid w:val="00E05B4D"/>
    <w:rsid w:val="00E06275"/>
    <w:rsid w:val="00E10F18"/>
    <w:rsid w:val="00E10FF7"/>
    <w:rsid w:val="00E11E58"/>
    <w:rsid w:val="00E12696"/>
    <w:rsid w:val="00E13468"/>
    <w:rsid w:val="00E156FF"/>
    <w:rsid w:val="00E1693C"/>
    <w:rsid w:val="00E172AE"/>
    <w:rsid w:val="00E17BB5"/>
    <w:rsid w:val="00E20344"/>
    <w:rsid w:val="00E23559"/>
    <w:rsid w:val="00E2380D"/>
    <w:rsid w:val="00E24C2B"/>
    <w:rsid w:val="00E30E34"/>
    <w:rsid w:val="00E33172"/>
    <w:rsid w:val="00E441C6"/>
    <w:rsid w:val="00E447E5"/>
    <w:rsid w:val="00E47C2D"/>
    <w:rsid w:val="00E572B6"/>
    <w:rsid w:val="00E57893"/>
    <w:rsid w:val="00E63BFE"/>
    <w:rsid w:val="00E65D55"/>
    <w:rsid w:val="00E719B3"/>
    <w:rsid w:val="00E71E53"/>
    <w:rsid w:val="00E72FCD"/>
    <w:rsid w:val="00E73277"/>
    <w:rsid w:val="00E7482B"/>
    <w:rsid w:val="00E753F7"/>
    <w:rsid w:val="00E76274"/>
    <w:rsid w:val="00E769FE"/>
    <w:rsid w:val="00E81EB0"/>
    <w:rsid w:val="00E83BB7"/>
    <w:rsid w:val="00E84551"/>
    <w:rsid w:val="00E9104D"/>
    <w:rsid w:val="00E91B7C"/>
    <w:rsid w:val="00E922CB"/>
    <w:rsid w:val="00E94003"/>
    <w:rsid w:val="00E94798"/>
    <w:rsid w:val="00E9480A"/>
    <w:rsid w:val="00EA075A"/>
    <w:rsid w:val="00EA0E82"/>
    <w:rsid w:val="00EA20ED"/>
    <w:rsid w:val="00EA4E76"/>
    <w:rsid w:val="00EA6176"/>
    <w:rsid w:val="00EA61D0"/>
    <w:rsid w:val="00EB0965"/>
    <w:rsid w:val="00EB588A"/>
    <w:rsid w:val="00EB771A"/>
    <w:rsid w:val="00EC1EE1"/>
    <w:rsid w:val="00EC6602"/>
    <w:rsid w:val="00EC6768"/>
    <w:rsid w:val="00EC7C40"/>
    <w:rsid w:val="00ED20F6"/>
    <w:rsid w:val="00ED2CA8"/>
    <w:rsid w:val="00ED6C2F"/>
    <w:rsid w:val="00EE199E"/>
    <w:rsid w:val="00EE6F90"/>
    <w:rsid w:val="00EE7753"/>
    <w:rsid w:val="00EE7DB7"/>
    <w:rsid w:val="00EF5305"/>
    <w:rsid w:val="00EF6D8A"/>
    <w:rsid w:val="00EF7782"/>
    <w:rsid w:val="00F01B3C"/>
    <w:rsid w:val="00F02364"/>
    <w:rsid w:val="00F06AC2"/>
    <w:rsid w:val="00F06C83"/>
    <w:rsid w:val="00F06DD6"/>
    <w:rsid w:val="00F07865"/>
    <w:rsid w:val="00F07EF0"/>
    <w:rsid w:val="00F10DCD"/>
    <w:rsid w:val="00F1315C"/>
    <w:rsid w:val="00F13B65"/>
    <w:rsid w:val="00F172F7"/>
    <w:rsid w:val="00F37242"/>
    <w:rsid w:val="00F413AA"/>
    <w:rsid w:val="00F44070"/>
    <w:rsid w:val="00F45C75"/>
    <w:rsid w:val="00F50261"/>
    <w:rsid w:val="00F53F5D"/>
    <w:rsid w:val="00F54B8A"/>
    <w:rsid w:val="00F571C0"/>
    <w:rsid w:val="00F63FA6"/>
    <w:rsid w:val="00F700D5"/>
    <w:rsid w:val="00F70423"/>
    <w:rsid w:val="00F73833"/>
    <w:rsid w:val="00F74769"/>
    <w:rsid w:val="00F75635"/>
    <w:rsid w:val="00F75D53"/>
    <w:rsid w:val="00F80EE6"/>
    <w:rsid w:val="00F838EB"/>
    <w:rsid w:val="00F85EB1"/>
    <w:rsid w:val="00F86128"/>
    <w:rsid w:val="00F87A33"/>
    <w:rsid w:val="00FA214B"/>
    <w:rsid w:val="00FA402F"/>
    <w:rsid w:val="00FA654D"/>
    <w:rsid w:val="00FA79EF"/>
    <w:rsid w:val="00FA7BFD"/>
    <w:rsid w:val="00FB2413"/>
    <w:rsid w:val="00FB274A"/>
    <w:rsid w:val="00FC0682"/>
    <w:rsid w:val="00FC0EA7"/>
    <w:rsid w:val="00FC4BF7"/>
    <w:rsid w:val="00FC62C0"/>
    <w:rsid w:val="00FC68A1"/>
    <w:rsid w:val="00FD2F79"/>
    <w:rsid w:val="00FD3AC7"/>
    <w:rsid w:val="00FD5168"/>
    <w:rsid w:val="00FD7A6C"/>
    <w:rsid w:val="00FE51F3"/>
    <w:rsid w:val="00FE555A"/>
    <w:rsid w:val="00FE7F94"/>
    <w:rsid w:val="00FF33C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55A6"/>
  <w15:docId w15:val="{6191DCB2-0719-4BB5-BAC9-70AA594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2"/>
      <w:ind w:left="676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E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styleId="a3">
    <w:name w:val="Table Grid"/>
    <w:basedOn w:val="a1"/>
    <w:uiPriority w:val="39"/>
    <w:rsid w:val="0075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EC1EE1"/>
  </w:style>
  <w:style w:type="character" w:customStyle="1" w:styleId="rvts37">
    <w:name w:val="rvts37"/>
    <w:basedOn w:val="a0"/>
    <w:rsid w:val="00EC1EE1"/>
  </w:style>
  <w:style w:type="paragraph" w:styleId="a4">
    <w:name w:val="List Paragraph"/>
    <w:basedOn w:val="a"/>
    <w:uiPriority w:val="34"/>
    <w:qFormat/>
    <w:rsid w:val="00A665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23E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D23E78"/>
    <w:rPr>
      <w:b/>
      <w:bCs/>
    </w:rPr>
  </w:style>
  <w:style w:type="character" w:customStyle="1" w:styleId="rvts0">
    <w:name w:val="rvts0"/>
    <w:basedOn w:val="a0"/>
    <w:rsid w:val="0067546D"/>
  </w:style>
  <w:style w:type="paragraph" w:styleId="a6">
    <w:name w:val="Normal (Web)"/>
    <w:basedOn w:val="a"/>
    <w:uiPriority w:val="99"/>
    <w:rsid w:val="00A4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rvps2">
    <w:name w:val="rvps2"/>
    <w:basedOn w:val="a"/>
    <w:rsid w:val="0055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1F82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C3F86"/>
    <w:rPr>
      <w:color w:val="0000FF"/>
      <w:u w:val="single"/>
    </w:rPr>
  </w:style>
  <w:style w:type="character" w:styleId="aa">
    <w:name w:val="Emphasis"/>
    <w:basedOn w:val="a0"/>
    <w:uiPriority w:val="20"/>
    <w:qFormat/>
    <w:rsid w:val="00EF5305"/>
    <w:rPr>
      <w:i/>
      <w:iCs/>
    </w:rPr>
  </w:style>
  <w:style w:type="character" w:customStyle="1" w:styleId="apple-tab-span">
    <w:name w:val="apple-tab-span"/>
    <w:basedOn w:val="a0"/>
    <w:rsid w:val="00EF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5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8871374516671221"/>
          <c:h val="0.998328722423210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61F-46B1-8C13-4BDA844ED7B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61F-46B1-8C13-4BDA844ED7BE}"/>
              </c:ext>
            </c:extLst>
          </c:dPt>
          <c:dLbls>
            <c:dLbl>
              <c:idx val="0"/>
              <c:layout>
                <c:manualLayout>
                  <c:x val="7.5650118203309691E-2"/>
                  <c:y val="7.901188821985487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800" baseline="0"/>
                      <a:t>чоловіки, 100%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noFill/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361963190184053"/>
                      <c:h val="0.398474070051588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61F-46B1-8C13-4BDA844ED7BE}"/>
                </c:ext>
              </c:extLst>
            </c:dLbl>
            <c:dLbl>
              <c:idx val="1"/>
              <c:layout>
                <c:manualLayout>
                  <c:x val="0.76299677965786206"/>
                  <c:y val="-4.8161626855467623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жінки, 0%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83542426930079"/>
                      <c:h val="0.356482022388278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61F-46B1-8C13-4BDA844ED7BE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чоловіки</c:v>
                </c:pt>
                <c:pt idx="1">
                  <c:v>жінки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1F-46B1-8C13-4BDA844E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48556430446194"/>
          <c:y val="0.52518145231846014"/>
          <c:w val="0.76902887139107612"/>
          <c:h val="0.366256517935258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жінок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5456424246181827E-2"/>
                  <c:y val="-7.139597550306212E-2"/>
                </c:manualLayout>
              </c:layout>
              <c:spPr>
                <a:solidFill>
                  <a:srgbClr val="FF0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265-4FDC-A8D5-E2965E75E5CF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265-4FDC-A8D5-E2965E75E5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чоловіків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0133779264214048E-2"/>
                  <c:y val="-9.9821746880570439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265-4FDC-A8D5-E2965E75E5CF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265-4FDC-A8D5-E2965E75E5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336034360"/>
        <c:axId val="336038624"/>
        <c:axId val="0"/>
      </c:bar3DChart>
      <c:catAx>
        <c:axId val="33603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6038624"/>
        <c:crosses val="autoZero"/>
        <c:auto val="1"/>
        <c:lblAlgn val="ctr"/>
        <c:lblOffset val="100"/>
        <c:noMultiLvlLbl val="0"/>
      </c:catAx>
      <c:valAx>
        <c:axId val="33603862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33603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66498229777358"/>
          <c:y val="6.7784339457567802E-2"/>
          <c:w val="0.72733488385126233"/>
          <c:h val="0.6321425351242859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D0707"/>
            </a:solidFill>
            <a:ln>
              <a:noFill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A-478A-8BF2-632C4704E31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glow rad="76200">
                <a:schemeClr val="accent1">
                  <a:alpha val="0"/>
                </a:schemeClr>
              </a:glow>
            </a:effectLst>
          </c:spPr>
          <c:invertIfNegative val="0"/>
          <c:cat>
            <c:strRef>
              <c:f>Лист1!$A$2:$A$6</c:f>
              <c:strCache>
                <c:ptCount val="5"/>
                <c:pt idx="0">
                  <c:v>61-70 років</c:v>
                </c:pt>
                <c:pt idx="1">
                  <c:v>51-60 років</c:v>
                </c:pt>
                <c:pt idx="2">
                  <c:v>41-50 років</c:v>
                </c:pt>
                <c:pt idx="3">
                  <c:v>31-40 років</c:v>
                </c:pt>
                <c:pt idx="4">
                  <c:v>21-30 років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A-478A-8BF2-632C4704E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420735456"/>
        <c:axId val="420735784"/>
      </c:barChart>
      <c:catAx>
        <c:axId val="420735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0735784"/>
        <c:crosses val="autoZero"/>
        <c:auto val="1"/>
        <c:lblAlgn val="ctr"/>
        <c:lblOffset val="100"/>
        <c:noMultiLvlLbl val="0"/>
      </c:catAx>
      <c:valAx>
        <c:axId val="420735784"/>
        <c:scaling>
          <c:orientation val="minMax"/>
        </c:scaling>
        <c:delete val="1"/>
        <c:axPos val="t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0735456"/>
        <c:crosses val="autoZero"/>
        <c:crossBetween val="between"/>
      </c:valAx>
      <c:spPr>
        <a:noFill/>
        <a:ln>
          <a:noFill/>
        </a:ln>
        <a:effectLst>
          <a:softEdge rad="139700"/>
        </a:effectLst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6184780300520688"/>
          <c:y val="0.83271356747981429"/>
          <c:w val="0.4582009067048437"/>
          <c:h val="0.131562752769111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чоловіки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с. Степанки</c:v>
                </c:pt>
                <c:pt idx="1">
                  <c:v>с. Бузуків</c:v>
                </c:pt>
                <c:pt idx="2">
                  <c:v>с. Хацьки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BF-49A7-8EBE-421B385508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жінки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50800" dist="50800" dir="3000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27000" h="127000"/>
              <a:bevelB w="127000" h="1270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с. Степанки</c:v>
                </c:pt>
                <c:pt idx="1">
                  <c:v>с. Бузуків</c:v>
                </c:pt>
                <c:pt idx="2">
                  <c:v>с. Хацьки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BF-49A7-8EBE-421B385508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24535584"/>
        <c:axId val="424526072"/>
      </c:barChart>
      <c:catAx>
        <c:axId val="42453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26072"/>
        <c:crosses val="autoZero"/>
        <c:auto val="1"/>
        <c:lblAlgn val="ctr"/>
        <c:lblOffset val="100"/>
        <c:noMultiLvlLbl val="0"/>
      </c:catAx>
      <c:valAx>
        <c:axId val="42452607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6A08-8FB9-4F1F-9952-FFCECC3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Viddil Ekonomiku</cp:lastModifiedBy>
  <cp:revision>63</cp:revision>
  <cp:lastPrinted>2020-08-10T10:29:00Z</cp:lastPrinted>
  <dcterms:created xsi:type="dcterms:W3CDTF">2020-08-10T05:29:00Z</dcterms:created>
  <dcterms:modified xsi:type="dcterms:W3CDTF">2020-08-10T10:31:00Z</dcterms:modified>
</cp:coreProperties>
</file>