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AEBF" w14:textId="77777777" w:rsidR="008815D1" w:rsidRDefault="008815D1" w:rsidP="008815D1">
      <w:pPr>
        <w:jc w:val="right"/>
      </w:pPr>
      <w:r>
        <w:t>Додаток 1</w:t>
      </w:r>
    </w:p>
    <w:p w14:paraId="6E72C840" w14:textId="77777777" w:rsidR="008815D1" w:rsidRDefault="008815D1" w:rsidP="008815D1">
      <w:pPr>
        <w:jc w:val="right"/>
      </w:pPr>
      <w:r>
        <w:t xml:space="preserve">до розпорядження </w:t>
      </w:r>
    </w:p>
    <w:p w14:paraId="44792A8C" w14:textId="77777777" w:rsidR="008815D1" w:rsidRDefault="008815D1" w:rsidP="008815D1">
      <w:pPr>
        <w:jc w:val="right"/>
      </w:pPr>
      <w:r>
        <w:t>від 28.08.2020 року № 114</w:t>
      </w:r>
    </w:p>
    <w:p w14:paraId="77621AE4" w14:textId="77777777" w:rsidR="008815D1" w:rsidRDefault="008815D1" w:rsidP="008815D1">
      <w:pPr>
        <w:jc w:val="right"/>
        <w:rPr>
          <w:b/>
        </w:rPr>
      </w:pPr>
    </w:p>
    <w:p w14:paraId="09AE9B76" w14:textId="77777777" w:rsidR="008815D1" w:rsidRDefault="008815D1" w:rsidP="008815D1">
      <w:pPr>
        <w:jc w:val="center"/>
        <w:rPr>
          <w:b/>
        </w:rPr>
      </w:pPr>
    </w:p>
    <w:p w14:paraId="0A8EB073" w14:textId="77777777" w:rsidR="008815D1" w:rsidRDefault="008815D1" w:rsidP="008815D1">
      <w:pPr>
        <w:jc w:val="center"/>
        <w:rPr>
          <w:b/>
        </w:rPr>
      </w:pPr>
      <w:r>
        <w:rPr>
          <w:b/>
        </w:rPr>
        <w:t xml:space="preserve"> ПЛАН ЗАХОДІВ</w:t>
      </w:r>
    </w:p>
    <w:p w14:paraId="1F13D032" w14:textId="77777777" w:rsidR="008815D1" w:rsidRDefault="008815D1" w:rsidP="008815D1">
      <w:pPr>
        <w:jc w:val="center"/>
        <w:rPr>
          <w:b/>
        </w:rPr>
      </w:pPr>
      <w:r>
        <w:rPr>
          <w:b/>
        </w:rPr>
        <w:t>із складання прогнозу</w:t>
      </w:r>
    </w:p>
    <w:p w14:paraId="5626CC47" w14:textId="77777777" w:rsidR="008815D1" w:rsidRDefault="008815D1" w:rsidP="008815D1">
      <w:pPr>
        <w:jc w:val="center"/>
        <w:rPr>
          <w:b/>
        </w:rPr>
      </w:pPr>
      <w:r>
        <w:rPr>
          <w:b/>
        </w:rPr>
        <w:t xml:space="preserve"> бюджету </w:t>
      </w:r>
      <w:proofErr w:type="spellStart"/>
      <w:r>
        <w:rPr>
          <w:b/>
        </w:rPr>
        <w:t>Степанківської</w:t>
      </w:r>
      <w:proofErr w:type="spellEnd"/>
      <w:r>
        <w:rPr>
          <w:b/>
        </w:rPr>
        <w:t xml:space="preserve"> сільської об’єднаної територіальної громади </w:t>
      </w:r>
    </w:p>
    <w:p w14:paraId="7E5CDC3E" w14:textId="6FA3671C" w:rsidR="008815D1" w:rsidRPr="008815D1" w:rsidRDefault="008815D1" w:rsidP="008815D1">
      <w:pPr>
        <w:jc w:val="center"/>
        <w:rPr>
          <w:b/>
        </w:rPr>
      </w:pPr>
      <w:r>
        <w:rPr>
          <w:b/>
        </w:rPr>
        <w:t>на 2021-2023 роки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37"/>
        <w:tblW w:w="10173" w:type="dxa"/>
        <w:tblLook w:val="04A0" w:firstRow="1" w:lastRow="0" w:firstColumn="1" w:lastColumn="0" w:noHBand="0" w:noVBand="1"/>
      </w:tblPr>
      <w:tblGrid>
        <w:gridCol w:w="538"/>
        <w:gridCol w:w="5544"/>
        <w:gridCol w:w="1727"/>
        <w:gridCol w:w="2364"/>
      </w:tblGrid>
      <w:tr w:rsidR="008815D1" w14:paraId="1EC3AC39" w14:textId="77777777" w:rsidTr="008815D1">
        <w:trPr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74BF" w14:textId="77777777" w:rsidR="008815D1" w:rsidRDefault="008815D1" w:rsidP="008815D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7F1A" w14:textId="77777777" w:rsidR="008815D1" w:rsidRDefault="008815D1" w:rsidP="008815D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Зміст заходів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FFBB" w14:textId="77777777" w:rsidR="008815D1" w:rsidRDefault="008815D1" w:rsidP="008815D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95D" w14:textId="77777777" w:rsidR="008815D1" w:rsidRDefault="008815D1" w:rsidP="008815D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Відповідальні за виконання</w:t>
            </w:r>
          </w:p>
        </w:tc>
      </w:tr>
      <w:tr w:rsidR="008815D1" w14:paraId="3BADBB2D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EB6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0B50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Здійснення аналізу виконання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у попередніх та поточному бюджетних періодах, виявлення тенденцій у виконанні дохідної та видаткової частин бюджету. Викладення результатів аналізу дохідної та видаткової частин бюджету в довільній формі.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4D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6E13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267ABFA1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2E2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1127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Доведення до головного розпорядника бюджетних коштів –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організаційно-методологічних засад складання прогнозу місцевого бюджету, визначених Міністерством фінансів України, та інструктивного листа щодо основних організаційних засад процесу підготовки пропозицій до прогнозу бюджету.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093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78BD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8815D1" w14:paraId="525AE296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C94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727B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Надання місцевому фінансовому органу – сільському голові основних прогнозних показників економічного і соціального розвитку території на середньостроковий період.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B4EC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серпень -вересень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8C37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Департамент фінансів Черкаської ОДА</w:t>
            </w:r>
          </w:p>
        </w:tc>
      </w:tr>
      <w:tr w:rsidR="008815D1" w14:paraId="6579C9EF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EB6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3E8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Надання місцевому фінансовому органу – сільському голові та відділу фінансів, економічного розвитку та інвестицій </w:t>
            </w:r>
            <w:r>
              <w:lastRenderedPageBreak/>
              <w:t xml:space="preserve">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інформації щодо чисельності громади, в розрізі статті, віку, а також інформацію щодо кількості населення населених пунктів </w:t>
            </w:r>
            <w:proofErr w:type="spellStart"/>
            <w:r>
              <w:t>Голов’ятинської</w:t>
            </w:r>
            <w:proofErr w:type="spellEnd"/>
            <w:r>
              <w:t xml:space="preserve"> та </w:t>
            </w:r>
            <w:proofErr w:type="spellStart"/>
            <w:r>
              <w:t>Залевківської</w:t>
            </w:r>
            <w:proofErr w:type="spellEnd"/>
            <w:r>
              <w:t xml:space="preserve"> сільських рад.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010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lastRenderedPageBreak/>
              <w:t>вересень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C47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Загальний відділ виконавчого комітету </w:t>
            </w:r>
            <w:proofErr w:type="spellStart"/>
            <w:r>
              <w:lastRenderedPageBreak/>
              <w:t>Степанківської</w:t>
            </w:r>
            <w:proofErr w:type="spellEnd"/>
            <w:r>
              <w:t xml:space="preserve"> сільської ради, відповідальні особи </w:t>
            </w:r>
            <w:proofErr w:type="spellStart"/>
            <w:r>
              <w:t>Голов’ятинської</w:t>
            </w:r>
            <w:proofErr w:type="spellEnd"/>
            <w:r>
              <w:t xml:space="preserve"> та </w:t>
            </w:r>
            <w:proofErr w:type="spellStart"/>
            <w:r>
              <w:t>Залевківської</w:t>
            </w:r>
            <w:proofErr w:type="spellEnd"/>
            <w:r>
              <w:t xml:space="preserve"> сільських рад </w:t>
            </w:r>
          </w:p>
        </w:tc>
      </w:tr>
      <w:tr w:rsidR="008815D1" w14:paraId="32A9AED4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43B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9F52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Здійснення спільно з органом, що контролює справляння надходжень до бюджету, прогнозування обсягів доходів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на середньостроковий період, орієнтуючись на наявну податкову базу, а також враховуючи податкові бази </w:t>
            </w:r>
            <w:proofErr w:type="spellStart"/>
            <w:r>
              <w:t>Голов’ятинської</w:t>
            </w:r>
            <w:proofErr w:type="spellEnd"/>
            <w:r>
              <w:t xml:space="preserve"> та </w:t>
            </w:r>
            <w:proofErr w:type="spellStart"/>
            <w:r>
              <w:t>Залевківської</w:t>
            </w:r>
            <w:proofErr w:type="spellEnd"/>
            <w:r>
              <w:t xml:space="preserve"> сільських рад, що приєднуються до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громади. Прогнозування показників доходів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здійснювати відповідно до Класифікації доходів бюджету, затвердженої Міністерством фінансів України. Врахування та відображення інформації про наслідки впливу на показники змін до нормативно-правових актів, змін в адміністративно-територіальному устрої, зміни місцезнаходження суб’єктів господарювання, прогнозних втрат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внаслідок наданих пільг зі сплати податків і зборів, тощо.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5FE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CDF" w14:textId="77777777" w:rsidR="008815D1" w:rsidRDefault="008815D1" w:rsidP="008815D1">
            <w:pPr>
              <w:tabs>
                <w:tab w:val="left" w:pos="6945"/>
              </w:tabs>
              <w:jc w:val="center"/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</w:t>
            </w:r>
          </w:p>
          <w:p w14:paraId="23EFAA8F" w14:textId="77777777" w:rsidR="008815D1" w:rsidRDefault="008815D1" w:rsidP="008815D1">
            <w:pPr>
              <w:tabs>
                <w:tab w:val="left" w:pos="6945"/>
              </w:tabs>
              <w:jc w:val="center"/>
            </w:pPr>
            <w:r>
              <w:t xml:space="preserve">Черкаське управління Головного управління ДПС у Черкаській області (відповідно до направлених звернень), </w:t>
            </w:r>
          </w:p>
          <w:p w14:paraId="3C6EF7BB" w14:textId="77777777" w:rsidR="008815D1" w:rsidRDefault="008815D1" w:rsidP="008815D1">
            <w:pPr>
              <w:tabs>
                <w:tab w:val="left" w:pos="6945"/>
              </w:tabs>
              <w:jc w:val="center"/>
            </w:pPr>
            <w:r>
              <w:t xml:space="preserve">відповідальні особи </w:t>
            </w:r>
            <w:proofErr w:type="spellStart"/>
            <w:r>
              <w:t>Голов’ятинської</w:t>
            </w:r>
            <w:proofErr w:type="spellEnd"/>
            <w:r>
              <w:t xml:space="preserve"> та </w:t>
            </w:r>
            <w:proofErr w:type="spellStart"/>
            <w:r>
              <w:t>Залевківської</w:t>
            </w:r>
            <w:proofErr w:type="spellEnd"/>
            <w:r>
              <w:t xml:space="preserve"> сільських рад (відповідно до направлених звернень)</w:t>
            </w:r>
          </w:p>
          <w:p w14:paraId="08229B3A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</w:p>
        </w:tc>
      </w:tr>
      <w:tr w:rsidR="008815D1" w14:paraId="28526661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BAE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D2AE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Здійснення прогнозування обсягів фінансування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громади. Прогнозування показників фінансування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здійснювати відповідно до </w:t>
            </w:r>
            <w:r>
              <w:lastRenderedPageBreak/>
              <w:t xml:space="preserve">Класифікації фінансування бюджету, затвердженої Міністерством фінансів України. Визначити обсяги фінансування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об’єднаної територіальної громади, визначити чи залучатимуться в прогнозованому періоді позики, якщо так то на який термін та за якою відсотковою ставкою, чи повертатимуться позички, інші положення та показники.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090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lastRenderedPageBreak/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37D2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</w:t>
            </w:r>
            <w:r>
              <w:lastRenderedPageBreak/>
              <w:t xml:space="preserve">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092BA280" w14:textId="77777777" w:rsidTr="008815D1">
        <w:trPr>
          <w:trHeight w:val="6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113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DDF1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t xml:space="preserve">Визначення загальних орієнтовних граничних показників видатків і надання кредитів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на середньостроковий період на </w:t>
            </w:r>
            <w:r>
              <w:rPr>
                <w:lang w:eastAsia="ru-RU"/>
              </w:rPr>
              <w:t xml:space="preserve">кожен рік окремо </w:t>
            </w:r>
            <w:bookmarkStart w:id="1" w:name="n25"/>
            <w:bookmarkEnd w:id="1"/>
            <w:r>
              <w:rPr>
                <w:lang w:eastAsia="ru-RU"/>
              </w:rPr>
              <w:t xml:space="preserve">на підставі основних прогнозних </w:t>
            </w:r>
            <w:proofErr w:type="spellStart"/>
            <w:r>
              <w:rPr>
                <w:lang w:eastAsia="ru-RU"/>
              </w:rPr>
              <w:t>макропоказників</w:t>
            </w:r>
            <w:proofErr w:type="spellEnd"/>
            <w:r>
              <w:rPr>
                <w:lang w:eastAsia="ru-RU"/>
              </w:rPr>
              <w:t xml:space="preserve"> економічного і соціального розвитку України та прогнозних показників економічного та соціального розвитку відповідної території на середньостроковий період, аналізу виконання бюджету у попередніх і поточному бюджетних періодах та </w:t>
            </w:r>
            <w:bookmarkStart w:id="2" w:name="n29"/>
            <w:bookmarkStart w:id="3" w:name="n28"/>
            <w:bookmarkStart w:id="4" w:name="n27"/>
            <w:bookmarkEnd w:id="2"/>
            <w:bookmarkEnd w:id="3"/>
            <w:bookmarkEnd w:id="4"/>
            <w:r>
              <w:rPr>
                <w:lang w:eastAsia="ru-RU"/>
              </w:rPr>
              <w:t>з урахуванням</w:t>
            </w:r>
            <w:bookmarkStart w:id="5" w:name="n26"/>
            <w:bookmarkEnd w:id="5"/>
            <w:r>
              <w:rPr>
                <w:lang w:eastAsia="ru-RU"/>
              </w:rPr>
              <w:t>:</w:t>
            </w:r>
          </w:p>
          <w:p w14:paraId="61B319BA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цілей та пріоритетів, визначених у щорічному посланні Президента України до Верховної Ради України про внутрішнє і зовнішнє становище України, Програмі діяльності Кабінету Міністрів України, прогнозних та програмних документах економічного і соціального розвитку;</w:t>
            </w:r>
          </w:p>
          <w:p w14:paraId="2EEED0BC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 та показників, визначених на відповідні бюджетні періоди Бюджетною декларацією, схваленою у поточному бюджетному періоді;</w:t>
            </w:r>
          </w:p>
          <w:p w14:paraId="1ACA7FCF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інформації та показників, визначених на відповідні бюджетні періоди пронозу бюджету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об’єднаної територіальної громади, схваленого у попередньому бюджетному періоді;</w:t>
            </w:r>
          </w:p>
          <w:p w14:paraId="6595F4EC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прогнозних обсягів доходів;</w:t>
            </w:r>
          </w:p>
          <w:p w14:paraId="44E201F0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прогнозних обсягів повернення кредитів до бюджету;</w:t>
            </w:r>
          </w:p>
          <w:p w14:paraId="2D7125DC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обсягів фінансування бюджету;</w:t>
            </w:r>
          </w:p>
          <w:p w14:paraId="68C6424F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bookmarkStart w:id="6" w:name="n32"/>
            <w:bookmarkStart w:id="7" w:name="n31"/>
            <w:bookmarkStart w:id="8" w:name="n30"/>
            <w:bookmarkEnd w:id="6"/>
            <w:bookmarkEnd w:id="7"/>
            <w:bookmarkEnd w:id="8"/>
            <w:r>
              <w:rPr>
                <w:sz w:val="28"/>
                <w:szCs w:val="28"/>
                <w:lang w:val="uk-UA"/>
              </w:rPr>
              <w:lastRenderedPageBreak/>
              <w:t>розмірів прожиткового мінімуму та рівня його забезпечення;</w:t>
            </w:r>
          </w:p>
          <w:p w14:paraId="18EAC54A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bookmarkStart w:id="9" w:name="n33"/>
            <w:bookmarkEnd w:id="9"/>
            <w:r>
              <w:rPr>
                <w:sz w:val="28"/>
                <w:szCs w:val="28"/>
                <w:lang w:val="uk-UA"/>
              </w:rPr>
              <w:t>розмірів мінімальної заробітної плати та посадового окладу (тарифної ставки) працівників І тарифного розряду;</w:t>
            </w:r>
          </w:p>
          <w:p w14:paraId="019F73A4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bookmarkStart w:id="10" w:name="n34"/>
            <w:bookmarkEnd w:id="10"/>
            <w:r>
              <w:rPr>
                <w:sz w:val="28"/>
                <w:szCs w:val="28"/>
                <w:lang w:val="uk-UA"/>
              </w:rPr>
              <w:t>цін / тарифів на комунальні послуги;</w:t>
            </w:r>
          </w:p>
          <w:p w14:paraId="5D240031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bookmarkStart w:id="11" w:name="n35"/>
            <w:bookmarkEnd w:id="11"/>
            <w:r>
              <w:rPr>
                <w:sz w:val="28"/>
                <w:szCs w:val="28"/>
                <w:lang w:val="uk-UA"/>
              </w:rPr>
              <w:t>необхідності передбачення нових (порівняно з поточним бюджетним періодом) видатків, у тому числі тих, що мають періодичний характер;</w:t>
            </w:r>
          </w:p>
          <w:p w14:paraId="492838AF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звітів про виконання паспортів бюджетних програм;</w:t>
            </w:r>
          </w:p>
          <w:p w14:paraId="2713718F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результатів оцінки ефективності бюджетних програм та необхідності оптимізації видатків та надання кредитів головного розпорядника;</w:t>
            </w:r>
          </w:p>
          <w:p w14:paraId="2FF84894" w14:textId="77777777" w:rsidR="008815D1" w:rsidRDefault="008815D1" w:rsidP="008815D1">
            <w:pPr>
              <w:jc w:val="center"/>
              <w:rPr>
                <w:color w:val="FF0000"/>
                <w:lang w:eastAsia="en-US"/>
              </w:rPr>
            </w:pPr>
            <w:r>
              <w:rPr>
                <w:shd w:val="clear" w:color="auto" w:fill="FFFFFF"/>
              </w:rPr>
              <w:t>- рішень органу місцевого самоврядування щодо надання міжбюджетних трансфертів.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1022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lastRenderedPageBreak/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D54C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0DDBF629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C77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242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Визначення обсягів резервного фонду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на середньостроковий період.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6CC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5DA9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0B34B7A6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D99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419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Визначення обсягів міжбюджетних трансфертів з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іншим місцевим бюджетам на середньостроковий період.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9A92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A250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4F5B8819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408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1746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Підготовка та внесення змін до показників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на 2022-2023 роки (за необхідності).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C440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BF2B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8815D1" w14:paraId="67095026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8C2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DD8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Розроблення та доведення до головного розпорядника коштів –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Інструкції щодо складання прогнозу бюджету об’єднаної територіальної громади з відповідними додатками.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6C17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A1C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132A5BB7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2AF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0E75" w14:textId="77777777" w:rsidR="008815D1" w:rsidRDefault="008815D1" w:rsidP="008815D1">
            <w:pPr>
              <w:tabs>
                <w:tab w:val="left" w:pos="1134"/>
              </w:tabs>
              <w:ind w:firstLine="709"/>
              <w:jc w:val="center"/>
              <w:rPr>
                <w:lang w:eastAsia="ru-RU"/>
              </w:rPr>
            </w:pPr>
            <w:r>
              <w:t xml:space="preserve">Доведення до головного розпорядника коштів –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орієнтовних граничних показників видатків та надання кредитів з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</w:t>
            </w:r>
            <w:r>
              <w:rPr>
                <w:lang w:eastAsia="ru-RU"/>
              </w:rPr>
              <w:t>загальними сумами на кожний рік середньострокового періоду із зазначеннями окремо обсягів:</w:t>
            </w:r>
          </w:p>
          <w:p w14:paraId="69217425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видатків, джерелом яких є трансферти з державного та місцевих бюджетів;</w:t>
            </w:r>
          </w:p>
          <w:p w14:paraId="4371A0E2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кредитів;</w:t>
            </w:r>
          </w:p>
          <w:p w14:paraId="7935D816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резервного фонду.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C9F7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9E0" w14:textId="77777777" w:rsidR="008815D1" w:rsidRDefault="008815D1" w:rsidP="008815D1">
            <w:pPr>
              <w:tabs>
                <w:tab w:val="left" w:pos="6945"/>
              </w:tabs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2655E038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057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0AD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t xml:space="preserve">Здійснення розподілу головним розпорядником </w:t>
            </w:r>
            <w:r>
              <w:rPr>
                <w:lang w:eastAsia="ru-RU"/>
              </w:rPr>
              <w:t>доведених фінансовим органом орієнтовних граничних показників за бюджетними програмами, реалізацію яких спрямовано на досягнення цілей державної політики та показників досягнення цілей, з урахуванням пріоритетності заходів, передбачених планами діяльності на середньостроковий період (визначення цілей</w:t>
            </w:r>
            <w:r>
              <w:rPr>
                <w:sz w:val="24"/>
              </w:rPr>
              <w:t xml:space="preserve"> </w:t>
            </w:r>
            <w:r>
              <w:t>державної політики, на досягнення яких спрямована реалізація бюджетних програм</w:t>
            </w:r>
            <w:r>
              <w:rPr>
                <w:lang w:eastAsia="ru-RU"/>
              </w:rPr>
              <w:t xml:space="preserve">, мети, завдань, напрямків використання </w:t>
            </w:r>
            <w:r>
              <w:rPr>
                <w:lang w:eastAsia="ru-RU"/>
              </w:rPr>
              <w:lastRenderedPageBreak/>
              <w:t>бюджетних коштів, результативних показників бюджетних програм).</w:t>
            </w:r>
          </w:p>
          <w:p w14:paraId="507442DF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Врахування головним розпорядником пропозицій щодо обсягів потреби коштів на середньостроковий період, наданих комунальними закладами </w:t>
            </w:r>
            <w:proofErr w:type="spellStart"/>
            <w:r>
              <w:rPr>
                <w:lang w:eastAsia="ru-RU"/>
              </w:rPr>
              <w:t>Степанківської</w:t>
            </w:r>
            <w:proofErr w:type="spellEnd"/>
            <w:r>
              <w:rPr>
                <w:lang w:eastAsia="ru-RU"/>
              </w:rPr>
              <w:t xml:space="preserve"> сільської ради, при розподілі орієнтовних граничних показників за бюджетними програмами.</w:t>
            </w:r>
          </w:p>
          <w:p w14:paraId="17363D6E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Розрахунок обсягів видатків та надання кредитів на середньостроковий період здійснювати за кожною бюджетною програмою за кодами економічної класифікації видатків бюджету або класифікації кредитування бюджету як за загальним, так і за спеціальним фондами, у тому числі за бюджетом розвитку.</w:t>
            </w:r>
          </w:p>
          <w:p w14:paraId="16DF6554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Обсяг видатків або надання кредитів за бюджетною програмою визначати як суму коштів за кодами економічної класифікації видатків бюджету або класифікації кредитування бюджету.</w:t>
            </w:r>
          </w:p>
          <w:p w14:paraId="133EFC1E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Обсяги видатків та надання кредитів розраховувати з урахуванням кількісних та вартісних факторів.</w:t>
            </w:r>
          </w:p>
          <w:p w14:paraId="725AD201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кількісних факторів належать штатна чисельність працівників, чисельність учнів, студентів, вихованців, осіб з інвалідністю, кількість бюджетних установ, обладнання, обсяг предметів, матеріалів, обладнання, інвентарю, обсяг наданих послуг, виконаних робіт, тощо.</w:t>
            </w:r>
          </w:p>
          <w:p w14:paraId="213758AA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вартісних факторів належать індекси споживчих цін та цін виробників, ціни/тарифи на товари (роботи, послуги), розмір прожиткового мінімуму та рівень його забезпечення, розміри мінімальної заробітної плати та посадового окладу (тарифної ставки) працівника І тарифного розряду, тощо.</w:t>
            </w:r>
          </w:p>
          <w:p w14:paraId="6351459A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Головний розпорядник підтверджує необхідний обсяг видатків або надання кредитів за кожною бюджетною програмою, з урахуванням її галузевих особливостей, відповідними </w:t>
            </w:r>
            <w:r>
              <w:rPr>
                <w:lang w:eastAsia="ru-RU"/>
              </w:rPr>
              <w:lastRenderedPageBreak/>
              <w:t>обґрунтуваннями та детальними розрахунками.</w:t>
            </w:r>
          </w:p>
          <w:p w14:paraId="3FE8089A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Здійснити розрахунок обсягів видатків та надання кредитів на середньостроковий період з урахуванням, зокрема:</w:t>
            </w:r>
          </w:p>
          <w:p w14:paraId="439EC5C0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 та показників, врахованих під час підготовки прогнозу, схваленого у попередньому бюджетному періоді, та рішення про бюджет на поточний бюджетний період;</w:t>
            </w:r>
          </w:p>
          <w:p w14:paraId="3D152D5E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нормативно-правових актів, що регулюють діяльність головного розпорядника у відповідній сфері діяльності, у тому числі надання публічних послуг;</w:t>
            </w:r>
          </w:p>
          <w:p w14:paraId="707A4816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 w:line="256" w:lineRule="auto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зобов’язань, передбачених договорами (контрактами);</w:t>
            </w:r>
          </w:p>
          <w:p w14:paraId="1E2C6523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норм і нормативів;</w:t>
            </w:r>
          </w:p>
          <w:p w14:paraId="2830ADFB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періодичності виконання окремих бюджетних програм, а також окремих заходів, що здійснюються в межах бюджетних програм;</w:t>
            </w:r>
          </w:p>
          <w:p w14:paraId="6E8F4DD9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результатів оцінки ефективності бюджетних програм;</w:t>
            </w:r>
          </w:p>
          <w:p w14:paraId="0AAA6B9B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результатів ґендерного аналізу бюджетних програм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46EED0D5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необхідності зменшення заборгованості попередніх бюджетних періодів та недопущення утворення заборгованості за зобов’язаннями у середньостроковому періоді;</w:t>
            </w:r>
          </w:p>
          <w:p w14:paraId="52CE45B5" w14:textId="77777777" w:rsidR="008815D1" w:rsidRDefault="008815D1" w:rsidP="008815D1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цін/тарифів на відповідні товари (роботи, послуги), закупівлю яких передбачається здійснювати для виконання бюджетної програми.</w:t>
            </w:r>
          </w:p>
          <w:p w14:paraId="4E5511C9" w14:textId="77777777" w:rsidR="008815D1" w:rsidRDefault="008815D1" w:rsidP="008815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Визначення головним </w:t>
            </w:r>
            <w:proofErr w:type="spellStart"/>
            <w:r>
              <w:rPr>
                <w:lang w:eastAsia="ru-RU"/>
              </w:rPr>
              <w:t>розпорядникок</w:t>
            </w:r>
            <w:proofErr w:type="spellEnd"/>
            <w:r>
              <w:rPr>
                <w:lang w:eastAsia="ru-RU"/>
              </w:rPr>
              <w:t xml:space="preserve"> обсягу видатків та/або надання кредитів спеціального фонду відповідно до нормативно-правових актів, які передбачають утворення і використання спеціального фонду, та з урахуванням вимог інструкцій, які за необхідності доводить фінансовий орган.</w:t>
            </w:r>
          </w:p>
          <w:p w14:paraId="30982E7A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rPr>
                <w:lang w:eastAsia="ru-RU"/>
              </w:rPr>
              <w:t xml:space="preserve"> Розрахунок надходжень спеціального фонду здійснити відповідно до положень </w:t>
            </w:r>
            <w:r>
              <w:rPr>
                <w:lang w:eastAsia="ru-RU"/>
              </w:rPr>
              <w:lastRenderedPageBreak/>
              <w:t>пункту 17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 лютого 2002 року № 228, з урахуванням фактичного виконання надходжень у попередньому та поточному бюджетних періодах, а також очікуваного виконання у поточному бюджетному періоді.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BB8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lastRenderedPageBreak/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4408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Головний розпорядник коштів - 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r>
              <w:lastRenderedPageBreak/>
              <w:t xml:space="preserve">сільської ради, комунальні заклади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відповідальні особи </w:t>
            </w:r>
            <w:proofErr w:type="spellStart"/>
            <w:r>
              <w:t>Голов’ятинської</w:t>
            </w:r>
            <w:proofErr w:type="spellEnd"/>
            <w:r>
              <w:t xml:space="preserve"> та </w:t>
            </w:r>
            <w:proofErr w:type="spellStart"/>
            <w:r>
              <w:t>Залевківської</w:t>
            </w:r>
            <w:proofErr w:type="spellEnd"/>
            <w:r>
              <w:t xml:space="preserve"> сільських рад (відповідно до направлених звернень)</w:t>
            </w:r>
          </w:p>
        </w:tc>
      </w:tr>
      <w:tr w:rsidR="008815D1" w14:paraId="1CE36E89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ABE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FEB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Підготовка бюджетних пропозицій за відповідними формами головним розпорядником коштів -Виконавчим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C7E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DA9C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Головний розпорядник коштів,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466AACC2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BC5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1C8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Надання фінансовому органу - сільському голові бюджетних пропозицій до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за відповідними формами.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27A3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519D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Головний розпорядник бюджетних коштів</w:t>
            </w:r>
          </w:p>
        </w:tc>
      </w:tr>
      <w:tr w:rsidR="008815D1" w14:paraId="1D2C777B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0B6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C42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Здійснення аналізу поданих головним розпорядником бюджетних коштів бюджетних пропозицій до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щодо відповідності орієнтовним граничним показникам дотримання доведених фінансовим органом фінансових обмежень, інструкцій, організаційних та інших вимог.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C4E9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CAE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2BE01502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C1C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816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Оформлення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згідно з Типовою формою прогнозу місцевого бюджету, що містить текстову частину та додатки, які є </w:t>
            </w:r>
            <w:r>
              <w:lastRenderedPageBreak/>
              <w:t>невід’ємною складовою частиною прогнозу.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C99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lastRenderedPageBreak/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B290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</w:t>
            </w:r>
            <w:r>
              <w:lastRenderedPageBreak/>
              <w:t xml:space="preserve">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7E4FBADA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A745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F16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Проведення погоджувальних нарад щодо узгодження показників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(за необхідності).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03D8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вересень – жовтень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623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Сільський голова,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керівники комунальних закладів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відповідальні особи </w:t>
            </w:r>
            <w:proofErr w:type="spellStart"/>
            <w:r>
              <w:t>Голов’ятинської</w:t>
            </w:r>
            <w:proofErr w:type="spellEnd"/>
            <w:r>
              <w:t xml:space="preserve"> та </w:t>
            </w:r>
            <w:proofErr w:type="spellStart"/>
            <w:r>
              <w:t>Залевківської</w:t>
            </w:r>
            <w:proofErr w:type="spellEnd"/>
            <w:r>
              <w:t xml:space="preserve"> сільських рад</w:t>
            </w:r>
          </w:p>
        </w:tc>
      </w:tr>
      <w:tr w:rsidR="008815D1" w14:paraId="215E0133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138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DD49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Доопрацювання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за результатами проведених погоджувальних нарад та інформації, отриманої від структурних підрозділів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тощо (за необхідності).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E820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листопад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ECB8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2646A003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767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4E5" w14:textId="77777777" w:rsidR="008815D1" w:rsidRDefault="008815D1" w:rsidP="008815D1">
            <w:pPr>
              <w:jc w:val="center"/>
            </w:pPr>
            <w:r>
              <w:t xml:space="preserve">Подання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до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на схвалення.</w:t>
            </w:r>
          </w:p>
          <w:p w14:paraId="7EF0A428" w14:textId="77777777" w:rsidR="008815D1" w:rsidRDefault="008815D1" w:rsidP="008815D1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931B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Друга половина листопаду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6752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8815D1" w14:paraId="6FB7695E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A3A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3CC9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Розгляд та схвалення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виконавчим комітетом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5D4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Друга половина листопаду 2020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C4C5" w14:textId="77777777" w:rsidR="008815D1" w:rsidRDefault="008815D1" w:rsidP="008815D1">
            <w:pPr>
              <w:jc w:val="center"/>
              <w:rPr>
                <w:b/>
                <w:lang w:eastAsia="en-US"/>
              </w:rPr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0E737DFB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701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04F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Подання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разом із фінансово-економічним обґрунтуванням до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для розгляду у порядку, визначеному радою.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7AC1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У п’ятиденний строк після його схвалення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27C" w14:textId="77777777" w:rsidR="008815D1" w:rsidRDefault="008815D1" w:rsidP="008815D1">
            <w:pPr>
              <w:jc w:val="center"/>
              <w:rPr>
                <w:b/>
                <w:lang w:eastAsia="en-US"/>
              </w:rPr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8815D1" w14:paraId="683FD45D" w14:textId="77777777" w:rsidTr="008815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E44" w14:textId="77777777" w:rsidR="008815D1" w:rsidRDefault="008815D1" w:rsidP="008815D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6DB9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Супровід розгляду питання щодо прогнозу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постійними комісіями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та на пленарному засіданні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у порядку, визначеному радою.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855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>Відповідно до Регламенту ради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04D3" w14:textId="77777777" w:rsidR="008815D1" w:rsidRDefault="008815D1" w:rsidP="008815D1">
            <w:pPr>
              <w:jc w:val="center"/>
              <w:rPr>
                <w:lang w:eastAsia="en-US"/>
              </w:rPr>
            </w:pPr>
            <w:r>
              <w:t xml:space="preserve">Представники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головного розпорядника бюджетних коштів,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</w:tbl>
    <w:p w14:paraId="6E174713" w14:textId="77777777" w:rsidR="008815D1" w:rsidRDefault="008815D1" w:rsidP="008815D1">
      <w:pPr>
        <w:jc w:val="center"/>
        <w:rPr>
          <w:b/>
        </w:rPr>
      </w:pPr>
    </w:p>
    <w:p w14:paraId="4C526EEC" w14:textId="77777777" w:rsidR="008815D1" w:rsidRDefault="008815D1" w:rsidP="008815D1">
      <w:pPr>
        <w:rPr>
          <w:b/>
          <w:lang w:eastAsia="en-US"/>
        </w:rPr>
      </w:pPr>
    </w:p>
    <w:p w14:paraId="11762D47" w14:textId="77777777" w:rsidR="008815D1" w:rsidRDefault="008815D1" w:rsidP="008815D1">
      <w:pPr>
        <w:rPr>
          <w:b/>
          <w:lang w:eastAsia="en-US"/>
        </w:rPr>
      </w:pPr>
    </w:p>
    <w:p w14:paraId="7DB3B297" w14:textId="2028F794" w:rsidR="008815D1" w:rsidRDefault="008815D1" w:rsidP="008815D1">
      <w:r>
        <w:t xml:space="preserve">Сільський голова                                                 </w:t>
      </w:r>
      <w:r>
        <w:t xml:space="preserve">            </w:t>
      </w:r>
      <w:r>
        <w:t xml:space="preserve">    Ігор ЧЕКАЛЕНКО</w:t>
      </w:r>
    </w:p>
    <w:p w14:paraId="4BEC5068" w14:textId="5F42E767" w:rsidR="00665237" w:rsidRPr="008815D1" w:rsidRDefault="00665237" w:rsidP="008815D1"/>
    <w:sectPr w:rsidR="00665237" w:rsidRPr="008815D1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7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54BD1"/>
    <w:rsid w:val="001C6674"/>
    <w:rsid w:val="00234464"/>
    <w:rsid w:val="00512416"/>
    <w:rsid w:val="00665237"/>
    <w:rsid w:val="008815D1"/>
    <w:rsid w:val="008D4CFF"/>
    <w:rsid w:val="00900250"/>
    <w:rsid w:val="00A32F7B"/>
    <w:rsid w:val="00A77F33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2020-09-10T08:03:00Z</dcterms:created>
  <dcterms:modified xsi:type="dcterms:W3CDTF">2020-09-10T08:03:00Z</dcterms:modified>
</cp:coreProperties>
</file>