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BE3C6" w14:textId="77777777" w:rsidR="00AD1DD9" w:rsidRDefault="00AD1DD9" w:rsidP="00AD1DD9">
      <w:pPr>
        <w:jc w:val="right"/>
      </w:pPr>
      <w:r>
        <w:t>Додаток 3</w:t>
      </w:r>
    </w:p>
    <w:p w14:paraId="0D2DFE45" w14:textId="77777777" w:rsidR="00AD1DD9" w:rsidRDefault="00AD1DD9" w:rsidP="00AD1DD9">
      <w:pPr>
        <w:jc w:val="right"/>
      </w:pPr>
      <w:r>
        <w:t>до розпорядження</w:t>
      </w:r>
    </w:p>
    <w:p w14:paraId="388060A7" w14:textId="77777777" w:rsidR="00AD1DD9" w:rsidRDefault="00AD1DD9" w:rsidP="00AD1DD9">
      <w:pPr>
        <w:jc w:val="right"/>
      </w:pPr>
      <w:r>
        <w:t>від 28.08.2020 року № 114</w:t>
      </w:r>
    </w:p>
    <w:p w14:paraId="3008BA5D" w14:textId="77777777" w:rsidR="00AD1DD9" w:rsidRDefault="00AD1DD9" w:rsidP="00AD1DD9">
      <w:pPr>
        <w:jc w:val="center"/>
        <w:rPr>
          <w:b/>
        </w:rPr>
      </w:pPr>
      <w:r>
        <w:rPr>
          <w:b/>
        </w:rPr>
        <w:t>ПЛАН  ЗАХОДІВ</w:t>
      </w:r>
    </w:p>
    <w:p w14:paraId="59E25780" w14:textId="77777777" w:rsidR="00AD1DD9" w:rsidRDefault="00AD1DD9" w:rsidP="00AD1DD9">
      <w:pPr>
        <w:jc w:val="center"/>
        <w:rPr>
          <w:b/>
        </w:rPr>
      </w:pPr>
      <w:r>
        <w:rPr>
          <w:b/>
        </w:rPr>
        <w:t xml:space="preserve">щодо виконання бюджету </w:t>
      </w:r>
      <w:proofErr w:type="spellStart"/>
      <w:r>
        <w:rPr>
          <w:b/>
        </w:rPr>
        <w:t>Степанківської</w:t>
      </w:r>
      <w:proofErr w:type="spellEnd"/>
      <w:r>
        <w:rPr>
          <w:b/>
        </w:rPr>
        <w:t xml:space="preserve"> сільської об’єднаної територіальної громади</w:t>
      </w:r>
    </w:p>
    <w:p w14:paraId="5B43C1E9" w14:textId="77777777" w:rsidR="00AD1DD9" w:rsidRDefault="00AD1DD9" w:rsidP="00AD1DD9">
      <w:pPr>
        <w:jc w:val="center"/>
        <w:rPr>
          <w:b/>
          <w:sz w:val="16"/>
          <w:szCs w:val="16"/>
        </w:rPr>
      </w:pPr>
    </w:p>
    <w:tbl>
      <w:tblPr>
        <w:tblStyle w:val="a3"/>
        <w:tblW w:w="10314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566"/>
        <w:gridCol w:w="5241"/>
        <w:gridCol w:w="2126"/>
        <w:gridCol w:w="2381"/>
      </w:tblGrid>
      <w:tr w:rsidR="00AD1DD9" w14:paraId="060AB274" w14:textId="77777777" w:rsidTr="00AD1DD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D83" w14:textId="77777777" w:rsidR="00AD1DD9" w:rsidRDefault="00AD1DD9" w:rsidP="0007112E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CA93" w14:textId="77777777" w:rsidR="00AD1DD9" w:rsidRDefault="00AD1DD9" w:rsidP="0007112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Зміст заходів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3707" w14:textId="77777777" w:rsidR="00AD1DD9" w:rsidRDefault="00AD1DD9" w:rsidP="0007112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E847" w14:textId="77777777" w:rsidR="00AD1DD9" w:rsidRDefault="00AD1DD9" w:rsidP="0007112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Відповідальні за виконання</w:t>
            </w:r>
          </w:p>
        </w:tc>
      </w:tr>
      <w:tr w:rsidR="00AD1DD9" w14:paraId="6E50FBEE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AA1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6F0F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 xml:space="preserve">Погодження мережі розпорядника коштів бюджету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(реєстру змін до мережі)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73DC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до 15 грудня та до 20 грудня року, що передує плановому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777D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планування, бухгалтерського обліку та звітності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ради, головний розпорядник бюджетних коштів – 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AD1DD9" w14:paraId="140C1DA7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DAD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3532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Приведення обсягів міжбюджетних трансфертів у відповідність із законом про державний бюджет (</w:t>
            </w:r>
            <w:r>
              <w:rPr>
                <w:i/>
              </w:rPr>
              <w:t>якщо до 1 грудня року, що передує плановому, Верховною Радою України не прийнято закон про державний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A6B8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у двотижневий строк з дня офіційного опублікування закону про Державний бюджет України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955E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AD1DD9" w14:paraId="1EF21B0F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55BA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40A" w14:textId="77777777" w:rsidR="00AD1DD9" w:rsidRDefault="00AD1DD9" w:rsidP="0007112E">
            <w:pPr>
              <w:jc w:val="center"/>
            </w:pPr>
            <w:r>
              <w:t xml:space="preserve">Затвердження та направлення до органу Казначейства тимчасового розпису </w:t>
            </w:r>
            <w:r>
              <w:lastRenderedPageBreak/>
              <w:t>бюджету (</w:t>
            </w:r>
            <w:r>
              <w:rPr>
                <w:i/>
              </w:rPr>
              <w:t>до затвердження розпису бюджету</w:t>
            </w:r>
            <w:r>
              <w:t>).</w:t>
            </w:r>
          </w:p>
          <w:p w14:paraId="31972ACF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Доведення до головного розпорядника витягів із тимчасового розпису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259D" w14:textId="77777777" w:rsidR="00AD1DD9" w:rsidRDefault="00AD1DD9" w:rsidP="0007112E">
            <w:pPr>
              <w:jc w:val="center"/>
              <w:rPr>
                <w:i/>
                <w:lang w:eastAsia="en-US"/>
              </w:rPr>
            </w:pPr>
            <w:r>
              <w:lastRenderedPageBreak/>
              <w:t>до 30 грудня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A66A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 xml:space="preserve">Сільський голова, що виконує </w:t>
            </w:r>
            <w:r>
              <w:lastRenderedPageBreak/>
              <w:t xml:space="preserve">функції фінансового органу </w:t>
            </w:r>
          </w:p>
        </w:tc>
      </w:tr>
      <w:tr w:rsidR="00AD1DD9" w14:paraId="759B2D88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D2A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9F5F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Доведення до сільського голови, що виконує функції фінансового органу показників міжбюджетних трансфертів згідно із затвердженим розписом державного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D48F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у дводенний строк з дня отримання розпису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2BA5" w14:textId="77777777" w:rsidR="00AD1DD9" w:rsidRDefault="00AD1DD9" w:rsidP="0007112E">
            <w:pPr>
              <w:jc w:val="center"/>
            </w:pPr>
            <w:r>
              <w:t>Територіальний орган Казначейства</w:t>
            </w:r>
          </w:p>
        </w:tc>
      </w:tr>
      <w:tr w:rsidR="00AD1DD9" w14:paraId="374E8CB6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D61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1F8F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 xml:space="preserve">Доведення до головного розпорядника бюджетних коштів –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 лімітних довідок про бюджетні асигнування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8B50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 xml:space="preserve">двотижневий строк з дня прийняття рішення про бюджет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об’єднаної територіальної громади на 2021 рік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5826" w14:textId="77777777" w:rsidR="00AD1DD9" w:rsidRDefault="00AD1DD9" w:rsidP="0007112E">
            <w:pPr>
              <w:jc w:val="center"/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AD1DD9" w14:paraId="5134A070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F2F7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C732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 xml:space="preserve">Подання сільському голові, що виконує функції фінансового органу,  уточнених </w:t>
            </w:r>
            <w:proofErr w:type="spellStart"/>
            <w:r>
              <w:t>проєктів</w:t>
            </w:r>
            <w:proofErr w:type="spellEnd"/>
            <w:r>
              <w:t xml:space="preserve"> зведених кошторисів та інших бюджетних документів, передбачених  п.30 Порядку складання, розгляду, затвердження та основні вимоги до виконання кошторисів бюджетних установ, затвердженого постановою КМУ від 28.02.2002 № 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9E5C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F70E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 xml:space="preserve">Головний розпорядник бюджетних коштів – 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AD1DD9" w14:paraId="181EC8CB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60C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A0A3" w14:textId="77777777" w:rsidR="00AD1DD9" w:rsidRDefault="00AD1DD9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Затвердження розпису бюджету.</w:t>
            </w:r>
          </w:p>
          <w:p w14:paraId="38C464CF" w14:textId="77777777" w:rsidR="00AD1DD9" w:rsidRDefault="00AD1DD9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Подання розпису до територіального органу Казначейства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19A3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місячний термін з дня прийняття рішення про бюджет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6426" w14:textId="77777777" w:rsidR="00AD1DD9" w:rsidRDefault="00AD1DD9" w:rsidP="000711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виконавчого комітету </w:t>
            </w:r>
            <w:proofErr w:type="spellStart"/>
            <w:r>
              <w:lastRenderedPageBreak/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AD1DD9" w14:paraId="258D0040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60E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DC6" w14:textId="77777777" w:rsidR="00AD1DD9" w:rsidRDefault="00AD1DD9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Доведення до головного розпорядника коштів  витягів із розпису бюджету</w:t>
            </w:r>
          </w:p>
          <w:p w14:paraId="1093F3FB" w14:textId="77777777" w:rsidR="00AD1DD9" w:rsidRDefault="00AD1DD9" w:rsidP="0007112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AFDD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У одноденний строк з дня затвердження розпису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764C" w14:textId="77777777" w:rsidR="00AD1DD9" w:rsidRDefault="00AD1DD9" w:rsidP="000711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Сільський голова, що виконує функції фінансового органу</w:t>
            </w:r>
          </w:p>
        </w:tc>
      </w:tr>
      <w:tr w:rsidR="00AD1DD9" w14:paraId="734FF36E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B65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DADB" w14:textId="77777777" w:rsidR="00AD1DD9" w:rsidRDefault="00AD1DD9" w:rsidP="0007112E">
            <w:pPr>
              <w:pStyle w:val="rvps2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Проведення перевірки рішення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сільської ради про бюджет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сільської об’єднаної територіальної громади на 2021 рік щодо дотримання бюджетного законодавства при затвердженні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33E" w14:textId="77777777" w:rsidR="00AD1DD9" w:rsidRDefault="00AD1DD9" w:rsidP="0007112E">
            <w:pPr>
              <w:jc w:val="center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99A4" w14:textId="77777777" w:rsidR="00AD1DD9" w:rsidRDefault="00AD1DD9" w:rsidP="0007112E">
            <w:pPr>
              <w:jc w:val="center"/>
            </w:pPr>
            <w:r>
              <w:t>Департамент фінансів Черкаської обласної державної адміністрації</w:t>
            </w:r>
          </w:p>
        </w:tc>
      </w:tr>
      <w:tr w:rsidR="00AD1DD9" w14:paraId="26A3212F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AE68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B7E7" w14:textId="77777777" w:rsidR="00AD1DD9" w:rsidRDefault="00AD1DD9" w:rsidP="0007112E">
            <w:pPr>
              <w:pStyle w:val="rvps2"/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Підготовка розпоряджень </w:t>
            </w:r>
            <w:r>
              <w:rPr>
                <w:sz w:val="28"/>
                <w:szCs w:val="28"/>
              </w:rPr>
              <w:t>про виділення коштів загального/спеціального фонду бюджету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сільської об’єднаної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F6E2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За потреби фінансування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E709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Сільський голова, що виконує функції фінансового органу</w:t>
            </w:r>
          </w:p>
        </w:tc>
      </w:tr>
      <w:tr w:rsidR="00AD1DD9" w14:paraId="17E41C18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48A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D260" w14:textId="77777777" w:rsidR="00AD1DD9" w:rsidRDefault="00AD1DD9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Затвердження за погодженням з сільським</w:t>
            </w:r>
            <w:r>
              <w:rPr>
                <w:sz w:val="28"/>
                <w:szCs w:val="28"/>
              </w:rPr>
              <w:t xml:space="preserve"> головою, що виконує функції фінансового органу,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паспортів бюджетних програм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A76" w14:textId="77777777" w:rsidR="00AD1DD9" w:rsidRDefault="00AD1DD9" w:rsidP="0007112E">
            <w:pPr>
              <w:jc w:val="center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A5AF" w14:textId="77777777" w:rsidR="00AD1DD9" w:rsidRDefault="00AD1DD9" w:rsidP="0007112E">
            <w:pPr>
              <w:jc w:val="center"/>
            </w:pPr>
            <w:r>
              <w:t>Сільський голова, що виконує функції фінансового органу, головний розпорядник бюджетних коштів</w:t>
            </w:r>
          </w:p>
        </w:tc>
      </w:tr>
      <w:tr w:rsidR="00AD1DD9" w14:paraId="36F87993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F51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FB8C" w14:textId="77777777" w:rsidR="00AD1DD9" w:rsidRDefault="00AD1DD9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Надання сільському голові, </w:t>
            </w:r>
            <w:r>
              <w:rPr>
                <w:sz w:val="28"/>
                <w:szCs w:val="28"/>
              </w:rPr>
              <w:t>що виконує функції фінансового органу,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інформації про суми нарахованих та сплачених податків і зборів, податкового боргу та надмірно сплачених до </w:t>
            </w:r>
            <w:r>
              <w:rPr>
                <w:sz w:val="28"/>
                <w:szCs w:val="28"/>
              </w:rPr>
              <w:t>бюджету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сільської об’єднаної територіальної громади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податків і зборів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21BF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щомісячно до 10 числа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7D7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Орган, що контролює справляння надходжень до бюджету</w:t>
            </w:r>
          </w:p>
        </w:tc>
      </w:tr>
      <w:tr w:rsidR="00AD1DD9" w14:paraId="61AB9641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767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B3CE" w14:textId="77777777" w:rsidR="00AD1DD9" w:rsidRDefault="00AD1DD9" w:rsidP="0007112E">
            <w:pPr>
              <w:pStyle w:val="rvps2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Зведення планових показників місцевих бюджетів у грошовому виразі та планів по мережі, штатах і контингентах бюджетних установ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A334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у терміни, визначені Мінфіном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D2AB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Департамент фінансів Черкаської обласної державної адміністрації</w:t>
            </w:r>
          </w:p>
        </w:tc>
      </w:tr>
      <w:tr w:rsidR="00AD1DD9" w14:paraId="10D19AD2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4EE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B5B9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 xml:space="preserve">Подання сільському голові, що виконує функції фінансового органу, </w:t>
            </w:r>
            <w:r>
              <w:lastRenderedPageBreak/>
              <w:t>узагальнених результатів аналізу ефективності бюджетних програм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23B8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lastRenderedPageBreak/>
              <w:t xml:space="preserve">протягом 30 днів  після складання звіту </w:t>
            </w:r>
            <w:r>
              <w:lastRenderedPageBreak/>
              <w:t>про виконання паспорта бюджетної програми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1572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lastRenderedPageBreak/>
              <w:t xml:space="preserve">Головний розпорядник бюджетних </w:t>
            </w:r>
            <w:r>
              <w:lastRenderedPageBreak/>
              <w:t xml:space="preserve">коштів – 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AD1DD9" w14:paraId="42CF16FD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D0D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1F7E" w14:textId="77777777" w:rsidR="00AD1DD9" w:rsidRDefault="00AD1DD9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Перевірка правильності складання і затвердження кошторисів та планів використання коштів установами і організаціями, які фінансуються з </w:t>
            </w:r>
            <w:r>
              <w:rPr>
                <w:sz w:val="28"/>
                <w:szCs w:val="28"/>
              </w:rPr>
              <w:t>бюджету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сільської об’єднаної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0176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D9CC" w14:textId="77777777" w:rsidR="00AD1DD9" w:rsidRDefault="00AD1DD9" w:rsidP="0007112E">
            <w:pPr>
              <w:jc w:val="center"/>
            </w:pPr>
            <w:r>
              <w:t>Сільський голова, що виконує функції фінансового органу</w:t>
            </w:r>
          </w:p>
        </w:tc>
      </w:tr>
      <w:tr w:rsidR="00AD1DD9" w14:paraId="63652E5C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460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4FE5" w14:textId="77777777" w:rsidR="00AD1DD9" w:rsidRDefault="00AD1DD9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Внесення змін до рішення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Степанківської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 про </w:t>
            </w:r>
            <w:r>
              <w:rPr>
                <w:sz w:val="28"/>
                <w:szCs w:val="28"/>
              </w:rPr>
              <w:t>бюджету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сільської об’єднаної територіальної громади на 2021 рік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(з урахуванням вимог статті 78 Бюджетного кодексу України)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E6CC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FB72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AD1DD9" w14:paraId="108572AD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79A1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F924" w14:textId="77777777" w:rsidR="00AD1DD9" w:rsidRDefault="00AD1DD9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Внесення змін до розпису </w:t>
            </w:r>
            <w:r>
              <w:rPr>
                <w:sz w:val="28"/>
                <w:szCs w:val="28"/>
              </w:rPr>
              <w:t>бюджету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сільської об’єднаної територіальної громади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CA3E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у тижневий строк після внесення змін до бюджету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A995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AD1DD9" w14:paraId="39587FEC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D81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C2B8" w14:textId="77777777" w:rsidR="00AD1DD9" w:rsidRDefault="00AD1DD9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Проведення аналізу стану виконання </w:t>
            </w:r>
            <w:r>
              <w:rPr>
                <w:sz w:val="28"/>
                <w:szCs w:val="28"/>
              </w:rPr>
              <w:t>бюджету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сільської об’єднаної територіальної громади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 підставі місячної/квартальної звітності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D30D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у тижневий строк після отримання звіту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7B21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 xml:space="preserve">Сільський голова, що виконує функції фінансового органу, відділ </w:t>
            </w:r>
            <w:r>
              <w:lastRenderedPageBreak/>
              <w:t xml:space="preserve">фінансів, економічного розвитку та інвестицій виконавчого комітету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AD1DD9" w14:paraId="79BB20E8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FE5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A1E4" w14:textId="77777777" w:rsidR="00AD1DD9" w:rsidRDefault="00AD1DD9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Підготовка пояснювальної записки та інших матеріалів до квартального звіту про виконання бюджету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сільської об’єднаної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8F88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у двотижневий строк після отримання звіту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16DD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Сільський голова, що виконує функції фінансового органу</w:t>
            </w:r>
          </w:p>
        </w:tc>
      </w:tr>
      <w:tr w:rsidR="00AD1DD9" w14:paraId="62C0B456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519B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5B63" w14:textId="77777777" w:rsidR="00AD1DD9" w:rsidRDefault="00AD1DD9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Подання квартального звіту про виконання бюджету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сільської об’єднаної територіальної громади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Степанківської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A1A8" w14:textId="77777777" w:rsidR="00AD1DD9" w:rsidRDefault="00AD1DD9" w:rsidP="0007112E">
            <w:pPr>
              <w:jc w:val="center"/>
            </w:pPr>
            <w:r>
              <w:t>до 1 червня</w:t>
            </w:r>
          </w:p>
          <w:p w14:paraId="4C9D88D1" w14:textId="77777777" w:rsidR="00AD1DD9" w:rsidRDefault="00AD1DD9" w:rsidP="0007112E">
            <w:pPr>
              <w:jc w:val="center"/>
            </w:pPr>
            <w:r>
              <w:t>до 1 вересня</w:t>
            </w:r>
          </w:p>
          <w:p w14:paraId="52968B26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до 1 грудня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06BF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 xml:space="preserve">Виконавчий комітет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</w:tc>
      </w:tr>
      <w:tr w:rsidR="00AD1DD9" w14:paraId="331AC911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3743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CE05" w14:textId="77777777" w:rsidR="00AD1DD9" w:rsidRDefault="00AD1DD9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Підготовка офіційних висновків до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проєктів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рішень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Степанківської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 про внесення змін до рішення про бюджет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сільської об’єднаної територіальної громади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за якими </w:t>
            </w:r>
            <w:r>
              <w:rPr>
                <w:sz w:val="28"/>
                <w:szCs w:val="20"/>
                <w:lang w:eastAsia="ru-RU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0"/>
                <w:lang w:eastAsia="ru-RU"/>
              </w:rPr>
              <w:t>Степанківської</w:t>
            </w:r>
            <w:proofErr w:type="spellEnd"/>
            <w:r>
              <w:rPr>
                <w:sz w:val="28"/>
                <w:szCs w:val="20"/>
                <w:lang w:eastAsia="ru-RU"/>
              </w:rPr>
              <w:t xml:space="preserve"> сільської ради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не є розробником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76FF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 xml:space="preserve">у дводенний строк після отримання </w:t>
            </w:r>
            <w:proofErr w:type="spellStart"/>
            <w:r>
              <w:t>проєкту</w:t>
            </w:r>
            <w:proofErr w:type="spellEnd"/>
            <w:r>
              <w:t xml:space="preserve"> рішення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0507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Сільський голова, що виконує функції фінансового органу</w:t>
            </w:r>
          </w:p>
        </w:tc>
      </w:tr>
      <w:tr w:rsidR="00AD1DD9" w14:paraId="4D726131" w14:textId="77777777" w:rsidTr="00AD1DD9">
        <w:trPr>
          <w:trHeight w:val="4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DC1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8105" w14:textId="77777777" w:rsidR="00AD1DD9" w:rsidRDefault="00AD1DD9" w:rsidP="0007112E">
            <w:pPr>
              <w:pStyle w:val="a6"/>
              <w:spacing w:after="240" w:line="240" w:lineRule="auto"/>
              <w:ind w:left="0" w:right="-3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Оприлюднення інформації, визначеної статтею 28 Бюджетного кодексу України, з додержанням вимог Закону України «Про доступ до публічної інформації» та Закону України «Про відкритість використання публічних коштів»:</w:t>
            </w:r>
          </w:p>
          <w:p w14:paraId="7D17505D" w14:textId="77777777" w:rsidR="00AD1DD9" w:rsidRDefault="00AD1DD9" w:rsidP="00AD1DD9">
            <w:pPr>
              <w:pStyle w:val="a6"/>
              <w:numPr>
                <w:ilvl w:val="0"/>
                <w:numId w:val="15"/>
              </w:numPr>
              <w:spacing w:after="240" w:line="240" w:lineRule="auto"/>
              <w:ind w:left="35" w:right="-30" w:firstLine="3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про внесення змін до рішення про бюджет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сільської об’єднаної територіальної громади на 2021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272FECB" w14:textId="77777777" w:rsidR="00AD1DD9" w:rsidRDefault="00AD1DD9" w:rsidP="00AD1DD9">
            <w:pPr>
              <w:pStyle w:val="a6"/>
              <w:numPr>
                <w:ilvl w:val="0"/>
                <w:numId w:val="15"/>
              </w:numPr>
              <w:spacing w:after="240" w:line="240" w:lineRule="auto"/>
              <w:ind w:left="35" w:right="-30" w:firstLine="325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інформації про виконання бюджету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сільської об’єднаної територіальної громади.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60BB" w14:textId="77777777" w:rsidR="00AD1DD9" w:rsidRDefault="00AD1DD9" w:rsidP="0007112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9524" w14:textId="77777777" w:rsidR="00AD1DD9" w:rsidRDefault="00AD1DD9" w:rsidP="0007112E">
            <w:pPr>
              <w:jc w:val="center"/>
            </w:pPr>
            <w:r>
              <w:t>Учасники бюджетного процесу</w:t>
            </w:r>
          </w:p>
        </w:tc>
      </w:tr>
      <w:tr w:rsidR="00AD1DD9" w14:paraId="3A33C6F9" w14:textId="77777777" w:rsidTr="00AD1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9D8" w14:textId="77777777" w:rsidR="00AD1DD9" w:rsidRDefault="00AD1DD9" w:rsidP="00AD1DD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6388" w14:textId="77777777" w:rsidR="00AD1DD9" w:rsidRDefault="00AD1DD9" w:rsidP="0007112E">
            <w:pPr>
              <w:pStyle w:val="a6"/>
              <w:spacing w:after="240" w:line="240" w:lineRule="auto"/>
              <w:ind w:left="35" w:right="-11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Інформування громадськості з питань використання коштів бюджету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сільської об’єднаної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її участь у бюджетному процесі із застосуванням відповідних механізмів (проведення засідань громадських рад, проведення громадських слухань, консультацій з громадськістю, форумів, конференцій, брифінгів, дискусій, вивчення громадських думок, тощо).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6A2" w14:textId="77777777" w:rsidR="00AD1DD9" w:rsidRDefault="00AD1DD9" w:rsidP="0007112E">
            <w:pPr>
              <w:jc w:val="center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77D3" w14:textId="77777777" w:rsidR="00AD1DD9" w:rsidRDefault="00AD1DD9" w:rsidP="0007112E">
            <w:pPr>
              <w:jc w:val="center"/>
            </w:pPr>
            <w:r>
              <w:t>Сільський голова, що виконує функції фінансового органу, відділ фінансів, економічного розвитку та інвестицій, головний розпорядник бюджетних коштів</w:t>
            </w:r>
          </w:p>
        </w:tc>
      </w:tr>
    </w:tbl>
    <w:p w14:paraId="6F6518D1" w14:textId="77777777" w:rsidR="00AD1DD9" w:rsidRDefault="00AD1DD9" w:rsidP="00AD1DD9"/>
    <w:p w14:paraId="14760C61" w14:textId="77777777" w:rsidR="00AD1DD9" w:rsidRDefault="00AD1DD9" w:rsidP="00AD1DD9"/>
    <w:p w14:paraId="4BEC5068" w14:textId="0FC5A1DC" w:rsidR="00665237" w:rsidRPr="00AD1DD9" w:rsidRDefault="00AD1DD9" w:rsidP="00AD1DD9">
      <w:r>
        <w:t>Сільський голова                                                                     Ігор ЧЕКАЛЕНКО</w:t>
      </w:r>
    </w:p>
    <w:sectPr w:rsidR="00665237" w:rsidRPr="00AD1DD9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445"/>
    <w:multiLevelType w:val="hybridMultilevel"/>
    <w:tmpl w:val="B7106436"/>
    <w:lvl w:ilvl="0" w:tplc="7D6286C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F4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10E8"/>
    <w:multiLevelType w:val="hybridMultilevel"/>
    <w:tmpl w:val="9BB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8502C"/>
    <w:multiLevelType w:val="hybridMultilevel"/>
    <w:tmpl w:val="CE4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1D57"/>
    <w:multiLevelType w:val="multilevel"/>
    <w:tmpl w:val="72883A3C"/>
    <w:lvl w:ilvl="0">
      <w:start w:val="2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7"/>
      <w:numFmt w:val="decimalZero"/>
      <w:lvlText w:val="%1.%2"/>
      <w:lvlJc w:val="left"/>
      <w:pPr>
        <w:ind w:left="1387" w:hanging="1350"/>
      </w:pPr>
      <w:rPr>
        <w:rFonts w:hint="default"/>
        <w:b w:val="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b w:val="0"/>
      </w:rPr>
    </w:lvl>
  </w:abstractNum>
  <w:abstractNum w:abstractNumId="8" w15:restartNumberingAfterBreak="0">
    <w:nsid w:val="2ACA39C1"/>
    <w:multiLevelType w:val="hybridMultilevel"/>
    <w:tmpl w:val="606A4406"/>
    <w:lvl w:ilvl="0" w:tplc="63147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552A1"/>
    <w:multiLevelType w:val="hybridMultilevel"/>
    <w:tmpl w:val="541E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92469"/>
    <w:multiLevelType w:val="hybridMultilevel"/>
    <w:tmpl w:val="37FE5880"/>
    <w:lvl w:ilvl="0" w:tplc="BE5A395E">
      <w:start w:val="2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A54413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619C9"/>
    <w:rsid w:val="000A257F"/>
    <w:rsid w:val="001157EE"/>
    <w:rsid w:val="00154BD1"/>
    <w:rsid w:val="001C6674"/>
    <w:rsid w:val="00234464"/>
    <w:rsid w:val="00512416"/>
    <w:rsid w:val="00665237"/>
    <w:rsid w:val="008815D1"/>
    <w:rsid w:val="008D4CFF"/>
    <w:rsid w:val="00900250"/>
    <w:rsid w:val="00A32F7B"/>
    <w:rsid w:val="00A77F33"/>
    <w:rsid w:val="00AD1DD9"/>
    <w:rsid w:val="00BF2C1F"/>
    <w:rsid w:val="00D021B0"/>
    <w:rsid w:val="00D57255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1C66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9"/>
    <w:uiPriority w:val="34"/>
    <w:unhideWhenUsed/>
    <w:qFormat/>
    <w:rsid w:val="008815D1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a9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8"/>
    <w:uiPriority w:val="34"/>
    <w:locked/>
    <w:rsid w:val="0088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D1DD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2020-09-10T08:06:00Z</dcterms:created>
  <dcterms:modified xsi:type="dcterms:W3CDTF">2020-09-10T08:06:00Z</dcterms:modified>
</cp:coreProperties>
</file>