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паспорту бюджетної програми на 20</w:t>
      </w:r>
      <w:r w:rsidR="005D0C7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AA03E3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</w:t>
      </w:r>
      <w:r w:rsidR="006356B0">
        <w:rPr>
          <w:rFonts w:ascii="Times New Roman" w:hAnsi="Times New Roman" w:cs="Times New Roman"/>
          <w:b/>
          <w:sz w:val="28"/>
          <w:szCs w:val="28"/>
          <w:lang w:val="uk-UA"/>
        </w:rPr>
        <w:t>КМБ 02140</w:t>
      </w:r>
      <w:r w:rsidR="00866323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356B0">
        <w:rPr>
          <w:rFonts w:ascii="Times New Roman" w:hAnsi="Times New Roman" w:cs="Times New Roman"/>
          <w:sz w:val="28"/>
          <w:szCs w:val="28"/>
          <w:lang w:val="uk-UA"/>
        </w:rPr>
        <w:t>Забезпечення діяльності бібліотек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D0C72" w:rsidRPr="00E0324B" w:rsidRDefault="005D0C72" w:rsidP="005D0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A33BB" w:rsidRPr="004475DD">
        <w:rPr>
          <w:rFonts w:ascii="Times New Roman" w:hAnsi="Times New Roman" w:cs="Times New Roman"/>
          <w:lang w:val="uk-UA"/>
        </w:rPr>
        <w:t>Зміни вносяться до паспорту бюджетної програми відповідно до рішення Степанківської сільської ради від 08.12.2020 року № 01-07/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ІІІ «Про внесення змін до рішення Степанківської сільської ради «Про бюджет Степанківської сільської об’єднаної територіальної громади на 2020 рік» від 23.12.2019 року № 42-44/VІІ, зі змінами від 07.02.2020 року № 43-23/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12.03.2020 року № 44-5/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24.03.2020 року № 45-2/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21.05.2020 року № 46-2/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23.06.2020 року № 47-3/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14.07.2020 року № 48-1/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18.08.2020 року № 49-1/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22.09.2020 року № 50-1/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16.10.2020 року № 51-3/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ІІ, 17.11.2020 року № 52-1/</w:t>
      </w:r>
      <w:r w:rsidR="007A33BB" w:rsidRPr="004475DD">
        <w:rPr>
          <w:rFonts w:ascii="Times New Roman" w:hAnsi="Times New Roman" w:cs="Times New Roman"/>
        </w:rPr>
        <w:t>V</w:t>
      </w:r>
      <w:r w:rsidR="007A33BB" w:rsidRPr="004475DD">
        <w:rPr>
          <w:rFonts w:ascii="Times New Roman" w:hAnsi="Times New Roman" w:cs="Times New Roman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6111" w:type="dxa"/>
        <w:tblLayout w:type="fixed"/>
        <w:tblLook w:val="04A0" w:firstRow="1" w:lastRow="0" w:firstColumn="1" w:lastColumn="0" w:noHBand="0" w:noVBand="1"/>
      </w:tblPr>
      <w:tblGrid>
        <w:gridCol w:w="2903"/>
        <w:gridCol w:w="527"/>
        <w:gridCol w:w="532"/>
        <w:gridCol w:w="1620"/>
        <w:gridCol w:w="1259"/>
        <w:gridCol w:w="1375"/>
        <w:gridCol w:w="2995"/>
        <w:gridCol w:w="691"/>
        <w:gridCol w:w="568"/>
        <w:gridCol w:w="1160"/>
        <w:gridCol w:w="1128"/>
        <w:gridCol w:w="1327"/>
        <w:gridCol w:w="26"/>
      </w:tblGrid>
      <w:tr w:rsidR="00DC6E19" w:rsidTr="007A33BB">
        <w:trPr>
          <w:gridAfter w:val="1"/>
          <w:wAfter w:w="26" w:type="dxa"/>
          <w:tblHeader/>
        </w:trPr>
        <w:tc>
          <w:tcPr>
            <w:tcW w:w="8216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7A33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11.02.2020 № 17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69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7A33BB">
        <w:trPr>
          <w:gridAfter w:val="1"/>
          <w:wAfter w:w="26" w:type="dxa"/>
          <w:tblHeader/>
        </w:trPr>
        <w:tc>
          <w:tcPr>
            <w:tcW w:w="8216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69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DB16E9">
        <w:tc>
          <w:tcPr>
            <w:tcW w:w="16111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86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86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83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7A33BB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7A33BB" w:rsidRPr="00DB16E9" w:rsidRDefault="007A33B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363125</w:t>
            </w:r>
          </w:p>
        </w:tc>
        <w:tc>
          <w:tcPr>
            <w:tcW w:w="4786" w:type="dxa"/>
            <w:gridSpan w:val="4"/>
          </w:tcPr>
          <w:p w:rsidR="007A33BB" w:rsidRPr="00DB16E9" w:rsidRDefault="007A33B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86" w:type="dxa"/>
            <w:gridSpan w:val="2"/>
          </w:tcPr>
          <w:p w:rsidR="007A33BB" w:rsidRPr="00DB16E9" w:rsidRDefault="00BE644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365125</w:t>
            </w:r>
          </w:p>
        </w:tc>
        <w:tc>
          <w:tcPr>
            <w:tcW w:w="4183" w:type="dxa"/>
            <w:gridSpan w:val="4"/>
          </w:tcPr>
          <w:p w:rsidR="007A33BB" w:rsidRPr="00DB16E9" w:rsidRDefault="00BE644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6A7421" w:rsidTr="00DB16E9">
        <w:tc>
          <w:tcPr>
            <w:tcW w:w="16111" w:type="dxa"/>
            <w:gridSpan w:val="13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A21EB4" w:rsidRPr="006356B0" w:rsidTr="007A33BB">
        <w:trPr>
          <w:gridAfter w:val="1"/>
          <w:wAfter w:w="26" w:type="dxa"/>
        </w:trPr>
        <w:tc>
          <w:tcPr>
            <w:tcW w:w="8216" w:type="dxa"/>
            <w:gridSpan w:val="6"/>
            <w:vAlign w:val="center"/>
          </w:tcPr>
          <w:p w:rsidR="00A21EB4" w:rsidRPr="00DB16E9" w:rsidRDefault="007A33BB" w:rsidP="00A21E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Конституція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Бюджетний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кодекс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Закон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"Про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місцеве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самоврядування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Україні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", Закон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"Про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бібліотеки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і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бібліотечну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справу",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рішення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ради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23.12.2019 року № 42-44/VІІ "Про бюджет Степанківської сільської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об'єднаної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територіальної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громади на 2020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рік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",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зі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змінами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07.02.2020 року № 43-23/VІІ,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Програма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Розвиток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на 2019-2020 роки,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затверджена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рішенням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ради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22.12.2018 № 24-20/VІІ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зі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змінами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03.10.2019 № 38-4/VІІ,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Програма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Інформатизація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об'єднаної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територіальної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громади" на 2020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рік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затверджена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рішенням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ради </w:t>
            </w:r>
            <w:proofErr w:type="spellStart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DB16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07.02.2020 № 43-22/VІІ</w:t>
            </w:r>
          </w:p>
        </w:tc>
        <w:tc>
          <w:tcPr>
            <w:tcW w:w="7869" w:type="dxa"/>
            <w:gridSpan w:val="6"/>
            <w:vAlign w:val="center"/>
          </w:tcPr>
          <w:p w:rsidR="00A21EB4" w:rsidRPr="00BE644B" w:rsidRDefault="00BE644B" w:rsidP="00A21EB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Конституція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Бюджетний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кодекс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Закон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"Про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місцеве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самоврядування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Україні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", Закон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України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"Про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бібліотеки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і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бібліотечну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справу",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рішення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ради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23.12.2019 року № 42-44/VІІ "Про бюджет Степанківської сільської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об'єднаної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територіальної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громади на 2020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рік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",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зі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змінами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07.02.2020 року № 43-23/VІІ, 12.03.2020 року № 44-5/VІІ, 24.03.2020 року № 45-2/VІІ, 21.05.2020 року № 46-2/VІІ, 23.06.2020 року № 47-3/VІІ, 14.07.2020 року № 48-1/VІІ, 18.08.2020 року № 49-1/VІІ, 22.09.2020 року № 50-1/VІІ, 16.10.2020 року № 51-3/VІІ, 17.11.2020 року № 52-1/VІІ, 08.12.2020 року № 01-07/VІІІ,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Програма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Розвиток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культури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на 2019-2020 роки,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затверджена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рішенням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ради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22.12.2018 № 24-20/VІІ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зі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змінами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03.10.2019 № 38-4/VІІ,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Програма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"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Інформатизація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об'єднаної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територіальної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громади" на 2020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рік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затверджена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рішенням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Степанківської сільської ради </w:t>
            </w:r>
            <w:proofErr w:type="spellStart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>від</w:t>
            </w:r>
            <w:proofErr w:type="spellEnd"/>
            <w:r w:rsidRPr="00BE6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07.02.2020 № 43-22/VІІ</w:t>
            </w:r>
          </w:p>
        </w:tc>
      </w:tr>
      <w:tr w:rsidR="00A21EB4" w:rsidTr="00DB16E9">
        <w:tc>
          <w:tcPr>
            <w:tcW w:w="16111" w:type="dxa"/>
            <w:gridSpan w:val="13"/>
          </w:tcPr>
          <w:p w:rsidR="00A21EB4" w:rsidRPr="0051652E" w:rsidRDefault="00A21EB4" w:rsidP="00A2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A21EB4" w:rsidTr="007A33BB">
        <w:trPr>
          <w:gridAfter w:val="1"/>
          <w:wAfter w:w="26" w:type="dxa"/>
        </w:trPr>
        <w:tc>
          <w:tcPr>
            <w:tcW w:w="8216" w:type="dxa"/>
            <w:gridSpan w:val="6"/>
          </w:tcPr>
          <w:p w:rsidR="00A21EB4" w:rsidRPr="00DB16E9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потреб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послугах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бібліотек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культурних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збираються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зберігаються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7869" w:type="dxa"/>
            <w:gridSpan w:val="6"/>
          </w:tcPr>
          <w:p w:rsidR="00A21EB4" w:rsidRPr="00DB16E9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потреб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послугах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бібліотек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культурних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збираються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зберігаються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</w:p>
        </w:tc>
      </w:tr>
      <w:tr w:rsidR="00A21EB4" w:rsidTr="00DB16E9">
        <w:tc>
          <w:tcPr>
            <w:tcW w:w="16111" w:type="dxa"/>
            <w:gridSpan w:val="13"/>
          </w:tcPr>
          <w:p w:rsidR="00A21EB4" w:rsidRPr="0051652E" w:rsidRDefault="00A21EB4" w:rsidP="00A2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A21EB4" w:rsidRPr="00021379" w:rsidTr="007A33BB">
        <w:trPr>
          <w:gridAfter w:val="1"/>
          <w:wAfter w:w="26" w:type="dxa"/>
        </w:trPr>
        <w:tc>
          <w:tcPr>
            <w:tcW w:w="8216" w:type="dxa"/>
            <w:gridSpan w:val="6"/>
          </w:tcPr>
          <w:p w:rsidR="00A21EB4" w:rsidRPr="006356B0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Забезпечення прав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бібліотечне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культурних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збираються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зберігаються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бібліотеками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69" w:type="dxa"/>
            <w:gridSpan w:val="6"/>
          </w:tcPr>
          <w:p w:rsidR="00A21EB4" w:rsidRPr="00021379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прав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бібліотечне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загальну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культурних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збираються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зберігаються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тимчасове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бібліотеками</w:t>
            </w:r>
            <w:proofErr w:type="spellEnd"/>
            <w:r w:rsidRPr="006356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1EB4" w:rsidTr="00DB16E9">
        <w:tc>
          <w:tcPr>
            <w:tcW w:w="16111" w:type="dxa"/>
            <w:gridSpan w:val="13"/>
          </w:tcPr>
          <w:p w:rsidR="00A21EB4" w:rsidRPr="0051652E" w:rsidRDefault="00A21EB4" w:rsidP="00A2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A21EB4" w:rsidRPr="00021379" w:rsidTr="007A33BB">
        <w:trPr>
          <w:gridAfter w:val="1"/>
          <w:wAfter w:w="26" w:type="dxa"/>
        </w:trPr>
        <w:tc>
          <w:tcPr>
            <w:tcW w:w="8216" w:type="dxa"/>
            <w:gridSpan w:val="6"/>
          </w:tcPr>
          <w:p w:rsidR="00A21EB4" w:rsidRPr="006356B0" w:rsidRDefault="00A21EB4" w:rsidP="00A21EB4">
            <w:pPr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доступності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повного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духовних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потреб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професійному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освітньому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бібліотечних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фондів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їх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облік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контроль за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7869" w:type="dxa"/>
            <w:gridSpan w:val="6"/>
          </w:tcPr>
          <w:p w:rsidR="00A21EB4" w:rsidRPr="00021379" w:rsidRDefault="00A21EB4" w:rsidP="00A21EB4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доступності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повного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духовних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потреб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професійному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освітньому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бібліотечних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фондів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їх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облік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контроль за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A21EB4" w:rsidTr="00DB16E9">
        <w:tc>
          <w:tcPr>
            <w:tcW w:w="16111" w:type="dxa"/>
            <w:gridSpan w:val="13"/>
          </w:tcPr>
          <w:p w:rsidR="00A21EB4" w:rsidRPr="0051652E" w:rsidRDefault="00A21EB4" w:rsidP="00A2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A21EB4" w:rsidRPr="00021379" w:rsidTr="007A33BB">
        <w:trPr>
          <w:gridAfter w:val="1"/>
          <w:wAfter w:w="26" w:type="dxa"/>
        </w:trPr>
        <w:tc>
          <w:tcPr>
            <w:tcW w:w="8216" w:type="dxa"/>
            <w:gridSpan w:val="6"/>
          </w:tcPr>
          <w:p w:rsidR="00A21EB4" w:rsidRPr="00021379" w:rsidRDefault="00A21EB4" w:rsidP="00A21EB4">
            <w:pPr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доступності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повного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духовних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потреб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професійному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освітньому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бібліотечних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фондів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їх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облік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контроль за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7869" w:type="dxa"/>
            <w:gridSpan w:val="6"/>
          </w:tcPr>
          <w:p w:rsidR="00A21EB4" w:rsidRPr="005C2CBA" w:rsidRDefault="00A21EB4" w:rsidP="00A2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Забезпечення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доступності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умов для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повного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духовних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потреб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професійному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освітньому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комплектування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бібліотечних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фондів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їх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облік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контроль за </w:t>
            </w:r>
            <w:proofErr w:type="spellStart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6356B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A21EB4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86" w:type="dxa"/>
            <w:gridSpan w:val="4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86" w:type="dxa"/>
            <w:gridSpan w:val="2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83" w:type="dxa"/>
            <w:gridSpan w:val="4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A21EB4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A21EB4" w:rsidRPr="00DB16E9" w:rsidRDefault="00A21EB4" w:rsidP="00A21E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351125</w:t>
            </w:r>
          </w:p>
        </w:tc>
        <w:tc>
          <w:tcPr>
            <w:tcW w:w="4786" w:type="dxa"/>
            <w:gridSpan w:val="4"/>
          </w:tcPr>
          <w:p w:rsidR="00A21EB4" w:rsidRPr="00DB16E9" w:rsidRDefault="00A21EB4" w:rsidP="00A21E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86" w:type="dxa"/>
            <w:gridSpan w:val="2"/>
          </w:tcPr>
          <w:p w:rsidR="00A21EB4" w:rsidRPr="00DB16E9" w:rsidRDefault="00BE644B" w:rsidP="00A21E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353125</w:t>
            </w:r>
          </w:p>
        </w:tc>
        <w:tc>
          <w:tcPr>
            <w:tcW w:w="4183" w:type="dxa"/>
            <w:gridSpan w:val="4"/>
          </w:tcPr>
          <w:p w:rsidR="00A21EB4" w:rsidRPr="00DB16E9" w:rsidRDefault="00A21EB4" w:rsidP="00A21E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A21EB4" w:rsidTr="007A33BB">
        <w:trPr>
          <w:gridAfter w:val="1"/>
          <w:wAfter w:w="26" w:type="dxa"/>
        </w:trPr>
        <w:tc>
          <w:tcPr>
            <w:tcW w:w="8216" w:type="dxa"/>
            <w:gridSpan w:val="6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  <w:tc>
          <w:tcPr>
            <w:tcW w:w="7869" w:type="dxa"/>
            <w:gridSpan w:val="6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</w:tr>
      <w:tr w:rsidR="00A21EB4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86" w:type="dxa"/>
            <w:gridSpan w:val="4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86" w:type="dxa"/>
            <w:gridSpan w:val="2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83" w:type="dxa"/>
            <w:gridSpan w:val="4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7A33BB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7A33BB" w:rsidRPr="00DB16E9" w:rsidRDefault="007A33B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12000</w:t>
            </w:r>
          </w:p>
        </w:tc>
        <w:tc>
          <w:tcPr>
            <w:tcW w:w="4786" w:type="dxa"/>
            <w:gridSpan w:val="4"/>
          </w:tcPr>
          <w:p w:rsidR="007A33BB" w:rsidRPr="00DB16E9" w:rsidRDefault="007A33B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3686" w:type="dxa"/>
            <w:gridSpan w:val="2"/>
          </w:tcPr>
          <w:p w:rsidR="007A33BB" w:rsidRPr="00DB16E9" w:rsidRDefault="00BE644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12000</w:t>
            </w:r>
          </w:p>
        </w:tc>
        <w:tc>
          <w:tcPr>
            <w:tcW w:w="4183" w:type="dxa"/>
            <w:gridSpan w:val="4"/>
          </w:tcPr>
          <w:p w:rsidR="007A33BB" w:rsidRPr="00DB16E9" w:rsidRDefault="00BE644B" w:rsidP="007A33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A21EB4" w:rsidTr="00DB16E9">
        <w:tc>
          <w:tcPr>
            <w:tcW w:w="16111" w:type="dxa"/>
            <w:gridSpan w:val="13"/>
          </w:tcPr>
          <w:p w:rsidR="00DB16E9" w:rsidRDefault="00DB16E9" w:rsidP="00A2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1EB4" w:rsidRPr="0051652E" w:rsidRDefault="00A21EB4" w:rsidP="00A21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21EB4" w:rsidTr="007A33BB">
        <w:tc>
          <w:tcPr>
            <w:tcW w:w="8216" w:type="dxa"/>
            <w:gridSpan w:val="6"/>
          </w:tcPr>
          <w:p w:rsidR="00A21EB4" w:rsidRPr="00DB16E9" w:rsidRDefault="00A21EB4" w:rsidP="00A21E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культури» на 2019-2020 роки</w:t>
            </w:r>
          </w:p>
        </w:tc>
        <w:tc>
          <w:tcPr>
            <w:tcW w:w="7895" w:type="dxa"/>
            <w:gridSpan w:val="7"/>
          </w:tcPr>
          <w:p w:rsidR="00A21EB4" w:rsidRPr="00DB16E9" w:rsidRDefault="00A21EB4" w:rsidP="00A21E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«Розвиток культури» на 2019-2020 роки</w:t>
            </w:r>
          </w:p>
        </w:tc>
      </w:tr>
      <w:tr w:rsidR="00A21EB4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86" w:type="dxa"/>
            <w:gridSpan w:val="4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86" w:type="dxa"/>
            <w:gridSpan w:val="2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83" w:type="dxa"/>
            <w:gridSpan w:val="4"/>
          </w:tcPr>
          <w:p w:rsidR="00A21EB4" w:rsidRDefault="00A21EB4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7A33BB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7A33BB" w:rsidRDefault="007A33BB" w:rsidP="007A3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351125</w:t>
            </w:r>
          </w:p>
        </w:tc>
        <w:tc>
          <w:tcPr>
            <w:tcW w:w="4786" w:type="dxa"/>
            <w:gridSpan w:val="4"/>
          </w:tcPr>
          <w:p w:rsidR="007A33BB" w:rsidRDefault="007A33BB" w:rsidP="007A3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86" w:type="dxa"/>
            <w:gridSpan w:val="2"/>
          </w:tcPr>
          <w:p w:rsidR="007A33BB" w:rsidRDefault="00D55C31" w:rsidP="007A3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353125</w:t>
            </w:r>
          </w:p>
        </w:tc>
        <w:tc>
          <w:tcPr>
            <w:tcW w:w="4183" w:type="dxa"/>
            <w:gridSpan w:val="4"/>
          </w:tcPr>
          <w:p w:rsidR="007A33BB" w:rsidRDefault="00D55C31" w:rsidP="007A3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21EB4" w:rsidRPr="007A33BB" w:rsidTr="007A33BB">
        <w:trPr>
          <w:gridAfter w:val="1"/>
          <w:wAfter w:w="26" w:type="dxa"/>
        </w:trPr>
        <w:tc>
          <w:tcPr>
            <w:tcW w:w="8216" w:type="dxa"/>
            <w:gridSpan w:val="6"/>
          </w:tcPr>
          <w:p w:rsidR="00A21EB4" w:rsidRDefault="007A33BB" w:rsidP="00A21E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Програма «Інформатизація Степанківської сільської об’єднаної територіальної громади» на 2020 рік</w:t>
            </w:r>
          </w:p>
        </w:tc>
        <w:tc>
          <w:tcPr>
            <w:tcW w:w="7869" w:type="dxa"/>
            <w:gridSpan w:val="6"/>
          </w:tcPr>
          <w:p w:rsidR="00A21EB4" w:rsidRPr="00DB16E9" w:rsidRDefault="00D55C31" w:rsidP="00A21E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B16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</w:tr>
      <w:tr w:rsidR="00D55C31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86" w:type="dxa"/>
            <w:gridSpan w:val="4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86" w:type="dxa"/>
            <w:gridSpan w:val="2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83" w:type="dxa"/>
            <w:gridSpan w:val="4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D55C31" w:rsidTr="007A33BB">
        <w:trPr>
          <w:gridAfter w:val="1"/>
          <w:wAfter w:w="26" w:type="dxa"/>
        </w:trPr>
        <w:tc>
          <w:tcPr>
            <w:tcW w:w="3430" w:type="dxa"/>
            <w:gridSpan w:val="2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</w:t>
            </w:r>
          </w:p>
        </w:tc>
        <w:tc>
          <w:tcPr>
            <w:tcW w:w="4786" w:type="dxa"/>
            <w:gridSpan w:val="4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686" w:type="dxa"/>
            <w:gridSpan w:val="2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</w:t>
            </w:r>
          </w:p>
        </w:tc>
        <w:tc>
          <w:tcPr>
            <w:tcW w:w="4183" w:type="dxa"/>
            <w:gridSpan w:val="4"/>
          </w:tcPr>
          <w:p w:rsidR="00D55C31" w:rsidRDefault="00D55C31" w:rsidP="00D55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55C31" w:rsidTr="00DB16E9">
        <w:tc>
          <w:tcPr>
            <w:tcW w:w="16111" w:type="dxa"/>
            <w:gridSpan w:val="13"/>
          </w:tcPr>
          <w:p w:rsidR="00D55C31" w:rsidRPr="0051652E" w:rsidRDefault="00D55C31" w:rsidP="00D5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620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375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2995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160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D55C31" w:rsidRPr="0002137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021379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установ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бібліотек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звіт</w:t>
            </w:r>
            <w:proofErr w:type="spellEnd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мережі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установ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бібліотек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звіт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по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мережі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(ставок) -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(ставок) -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3,00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керівних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працівників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керівних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працівників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обслуговуючого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та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технічного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</w:t>
            </w:r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обслуговуючого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та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технічного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персоналу</w:t>
            </w:r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0,50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спеціалістів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середнє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число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окладів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(ставок)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спеціалістів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штатний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розпис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Видатки на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Видатки на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рішення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сесії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12000,00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16E9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книговидач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16E9">
              <w:rPr>
                <w:rFonts w:ascii="Times New Roman" w:hAnsi="Times New Roman" w:cs="Times New Roman"/>
                <w:sz w:val="12"/>
                <w:szCs w:val="12"/>
              </w:rPr>
              <w:t>форма №6-нк</w:t>
            </w: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книговидач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форма №6-нк</w:t>
            </w: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30000,00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число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читачів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тис.осіб</w:t>
            </w:r>
            <w:proofErr w:type="spellEnd"/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16E9">
              <w:rPr>
                <w:rFonts w:ascii="Times New Roman" w:hAnsi="Times New Roman" w:cs="Times New Roman"/>
                <w:sz w:val="12"/>
                <w:szCs w:val="12"/>
              </w:rPr>
              <w:t>форма №6-нк</w:t>
            </w: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1,80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число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читачів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тис.осіб</w:t>
            </w:r>
            <w:proofErr w:type="spellEnd"/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форма №6-нк</w:t>
            </w: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1,80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бібліотечний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фонд</w:t>
            </w:r>
          </w:p>
        </w:tc>
        <w:tc>
          <w:tcPr>
            <w:tcW w:w="10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тис.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примірників</w:t>
            </w:r>
            <w:proofErr w:type="spellEnd"/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16E9">
              <w:rPr>
                <w:rFonts w:ascii="Times New Roman" w:hAnsi="Times New Roman" w:cs="Times New Roman"/>
                <w:sz w:val="12"/>
                <w:szCs w:val="12"/>
              </w:rPr>
              <w:t>форма №6-нк</w:t>
            </w: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14,76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бібліотечний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фонд</w:t>
            </w:r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тис.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примірників</w:t>
            </w:r>
            <w:proofErr w:type="spellEnd"/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форма №6-нк</w:t>
            </w: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14,76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поповнення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бібліотечного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фонду</w:t>
            </w:r>
          </w:p>
        </w:tc>
        <w:tc>
          <w:tcPr>
            <w:tcW w:w="10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тис.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примірників</w:t>
            </w:r>
            <w:proofErr w:type="spellEnd"/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B16E9">
              <w:rPr>
                <w:rFonts w:ascii="Times New Roman" w:hAnsi="Times New Roman" w:cs="Times New Roman"/>
                <w:sz w:val="12"/>
                <w:szCs w:val="12"/>
              </w:rPr>
              <w:t>форма №6-нк</w:t>
            </w: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поповнення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бібліотечного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фонду</w:t>
            </w:r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тис.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примірників</w:t>
            </w:r>
            <w:proofErr w:type="spellEnd"/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форма №6-нк</w:t>
            </w: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2"/>
                <w:szCs w:val="12"/>
              </w:rPr>
              <w:t>внутрішній</w:t>
            </w:r>
            <w:proofErr w:type="spellEnd"/>
            <w:r w:rsidRPr="00DB16E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2"/>
                <w:szCs w:val="12"/>
              </w:rPr>
              <w:t>облік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внутрішній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облік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затрати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обслуговування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одного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читача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195,07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затрати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обслуговування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одного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читача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202,85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книговидач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на одного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працівника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(ставку)</w:t>
            </w:r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книговидач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на одного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працівника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(ставку)</w:t>
            </w:r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од.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10000,00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захід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завдання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, проект (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240,00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Середні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видатки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на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захід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завдання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, проект (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роботи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грн.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240,00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динаміка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збільшення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кількості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книговидач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у плановому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періоді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відповідно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до фактичного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показника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попереднього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періоду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динаміка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збільшення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кількості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книговидач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у плановому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періоді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відповідно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до фактичного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показника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попереднього</w:t>
            </w:r>
            <w:proofErr w:type="spellEnd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2"/>
                <w:szCs w:val="12"/>
              </w:rPr>
              <w:t>періоду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відс.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55C31" w:rsidRPr="00021379" w:rsidTr="007A33BB">
        <w:trPr>
          <w:gridAfter w:val="1"/>
          <w:wAfter w:w="26" w:type="dxa"/>
        </w:trPr>
        <w:tc>
          <w:tcPr>
            <w:tcW w:w="2903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Рівень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B16E9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059" w:type="dxa"/>
            <w:gridSpan w:val="2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відс.</w:t>
            </w:r>
          </w:p>
        </w:tc>
        <w:tc>
          <w:tcPr>
            <w:tcW w:w="1620" w:type="dxa"/>
            <w:vAlign w:val="center"/>
          </w:tcPr>
          <w:p w:rsidR="00D55C31" w:rsidRPr="00DB16E9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9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75" w:type="dxa"/>
            <w:vAlign w:val="center"/>
          </w:tcPr>
          <w:p w:rsidR="00D55C31" w:rsidRPr="00DB16E9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6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95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Рівень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виконання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заходів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завдань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проектів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робіт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) у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сфері</w:t>
            </w:r>
            <w:proofErr w:type="spellEnd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інформатизації</w:t>
            </w:r>
            <w:proofErr w:type="spellEnd"/>
          </w:p>
        </w:tc>
        <w:tc>
          <w:tcPr>
            <w:tcW w:w="1259" w:type="dxa"/>
            <w:gridSpan w:val="2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відс.</w:t>
            </w:r>
          </w:p>
        </w:tc>
        <w:tc>
          <w:tcPr>
            <w:tcW w:w="1160" w:type="dxa"/>
            <w:vAlign w:val="center"/>
          </w:tcPr>
          <w:p w:rsidR="00D55C31" w:rsidRPr="00D55C31" w:rsidRDefault="00D55C31" w:rsidP="00D55C31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розрахунок</w:t>
            </w:r>
            <w:proofErr w:type="spellEnd"/>
          </w:p>
        </w:tc>
        <w:tc>
          <w:tcPr>
            <w:tcW w:w="1128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1327" w:type="dxa"/>
            <w:vAlign w:val="center"/>
          </w:tcPr>
          <w:p w:rsidR="00D55C31" w:rsidRPr="00D55C31" w:rsidRDefault="00D55C31" w:rsidP="00D55C31">
            <w:pPr>
              <w:ind w:righ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5C3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</w:tr>
    </w:tbl>
    <w:p w:rsidR="007A33BB" w:rsidRDefault="007A33BB" w:rsidP="007A3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                         Ігор ЧЕКАЛЕНКО</w:t>
      </w:r>
    </w:p>
    <w:p w:rsidR="007A33BB" w:rsidRDefault="007A33BB" w:rsidP="007A3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планування, </w:t>
      </w:r>
    </w:p>
    <w:p w:rsidR="007A33BB" w:rsidRDefault="007A33BB" w:rsidP="007A3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та звітності – </w:t>
      </w:r>
    </w:p>
    <w:p w:rsidR="003E67F6" w:rsidRPr="001B6C44" w:rsidRDefault="007A33BB" w:rsidP="007A33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бухгалтер                                                                                                Любов ШУЛЬГІНА</w:t>
      </w:r>
      <w:bookmarkStart w:id="0" w:name="_GoBack"/>
      <w:bookmarkEnd w:id="0"/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21379"/>
    <w:rsid w:val="000743D3"/>
    <w:rsid w:val="00082EAC"/>
    <w:rsid w:val="00084D7D"/>
    <w:rsid w:val="00111DD2"/>
    <w:rsid w:val="001460AD"/>
    <w:rsid w:val="001B6C44"/>
    <w:rsid w:val="003C357B"/>
    <w:rsid w:val="003E67F6"/>
    <w:rsid w:val="003F40B4"/>
    <w:rsid w:val="0040105D"/>
    <w:rsid w:val="00454F64"/>
    <w:rsid w:val="0051652E"/>
    <w:rsid w:val="00586092"/>
    <w:rsid w:val="005C2CBA"/>
    <w:rsid w:val="005D0C72"/>
    <w:rsid w:val="005D2776"/>
    <w:rsid w:val="00600366"/>
    <w:rsid w:val="006041AA"/>
    <w:rsid w:val="006356B0"/>
    <w:rsid w:val="006802F4"/>
    <w:rsid w:val="006A7421"/>
    <w:rsid w:val="007A33BB"/>
    <w:rsid w:val="007B55E2"/>
    <w:rsid w:val="007D113C"/>
    <w:rsid w:val="00866323"/>
    <w:rsid w:val="008969E7"/>
    <w:rsid w:val="008F2FF4"/>
    <w:rsid w:val="00906F3B"/>
    <w:rsid w:val="00A21EB4"/>
    <w:rsid w:val="00AA03E3"/>
    <w:rsid w:val="00AC2EAD"/>
    <w:rsid w:val="00AC631D"/>
    <w:rsid w:val="00B924E6"/>
    <w:rsid w:val="00BE644B"/>
    <w:rsid w:val="00BF38BC"/>
    <w:rsid w:val="00C54AD3"/>
    <w:rsid w:val="00C56B6D"/>
    <w:rsid w:val="00C91000"/>
    <w:rsid w:val="00D42549"/>
    <w:rsid w:val="00D55C31"/>
    <w:rsid w:val="00DB16E9"/>
    <w:rsid w:val="00DC6E19"/>
    <w:rsid w:val="00E96F83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C18C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A21EB4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17</cp:revision>
  <cp:lastPrinted>2020-12-10T09:01:00Z</cp:lastPrinted>
  <dcterms:created xsi:type="dcterms:W3CDTF">2019-09-25T04:44:00Z</dcterms:created>
  <dcterms:modified xsi:type="dcterms:W3CDTF">2020-12-10T09:01:00Z</dcterms:modified>
</cp:coreProperties>
</file>