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40"/>
        <w:gridCol w:w="40"/>
        <w:gridCol w:w="360"/>
        <w:gridCol w:w="300"/>
        <w:gridCol w:w="40"/>
        <w:gridCol w:w="20"/>
        <w:gridCol w:w="120"/>
        <w:gridCol w:w="60"/>
        <w:gridCol w:w="60"/>
        <w:gridCol w:w="240"/>
        <w:gridCol w:w="60"/>
        <w:gridCol w:w="400"/>
        <w:gridCol w:w="20"/>
        <w:gridCol w:w="80"/>
        <w:gridCol w:w="20"/>
        <w:gridCol w:w="20"/>
        <w:gridCol w:w="20"/>
        <w:gridCol w:w="20"/>
        <w:gridCol w:w="20"/>
        <w:gridCol w:w="140"/>
        <w:gridCol w:w="360"/>
        <w:gridCol w:w="40"/>
        <w:gridCol w:w="260"/>
        <w:gridCol w:w="80"/>
        <w:gridCol w:w="20"/>
        <w:gridCol w:w="60"/>
        <w:gridCol w:w="20"/>
        <w:gridCol w:w="60"/>
        <w:gridCol w:w="60"/>
        <w:gridCol w:w="40"/>
        <w:gridCol w:w="460"/>
        <w:gridCol w:w="140"/>
        <w:gridCol w:w="40"/>
        <w:gridCol w:w="120"/>
        <w:gridCol w:w="60"/>
        <w:gridCol w:w="20"/>
        <w:gridCol w:w="160"/>
        <w:gridCol w:w="60"/>
        <w:gridCol w:w="460"/>
        <w:gridCol w:w="20"/>
        <w:gridCol w:w="20"/>
        <w:gridCol w:w="160"/>
        <w:gridCol w:w="40"/>
        <w:gridCol w:w="40"/>
        <w:gridCol w:w="20"/>
        <w:gridCol w:w="20"/>
        <w:gridCol w:w="20"/>
        <w:gridCol w:w="140"/>
        <w:gridCol w:w="100"/>
        <w:gridCol w:w="60"/>
        <w:gridCol w:w="280"/>
        <w:gridCol w:w="20"/>
        <w:gridCol w:w="300"/>
        <w:gridCol w:w="60"/>
        <w:gridCol w:w="20"/>
        <w:gridCol w:w="20"/>
        <w:gridCol w:w="140"/>
        <w:gridCol w:w="200"/>
        <w:gridCol w:w="60"/>
        <w:gridCol w:w="80"/>
        <w:gridCol w:w="220"/>
        <w:gridCol w:w="200"/>
        <w:gridCol w:w="60"/>
        <w:gridCol w:w="20"/>
        <w:gridCol w:w="20"/>
        <w:gridCol w:w="100"/>
        <w:gridCol w:w="40"/>
        <w:gridCol w:w="200"/>
        <w:gridCol w:w="40"/>
        <w:gridCol w:w="60"/>
        <w:gridCol w:w="60"/>
        <w:gridCol w:w="300"/>
        <w:gridCol w:w="100"/>
        <w:gridCol w:w="60"/>
        <w:gridCol w:w="20"/>
        <w:gridCol w:w="120"/>
        <w:gridCol w:w="40"/>
        <w:gridCol w:w="140"/>
        <w:gridCol w:w="60"/>
        <w:gridCol w:w="200"/>
        <w:gridCol w:w="40"/>
        <w:gridCol w:w="20"/>
        <w:gridCol w:w="300"/>
        <w:gridCol w:w="80"/>
        <w:gridCol w:w="20"/>
        <w:gridCol w:w="140"/>
        <w:gridCol w:w="40"/>
        <w:gridCol w:w="20"/>
        <w:gridCol w:w="440"/>
        <w:gridCol w:w="60"/>
        <w:gridCol w:w="40"/>
        <w:gridCol w:w="60"/>
        <w:gridCol w:w="100"/>
        <w:gridCol w:w="80"/>
        <w:gridCol w:w="40"/>
        <w:gridCol w:w="60"/>
        <w:gridCol w:w="60"/>
        <w:gridCol w:w="60"/>
        <w:gridCol w:w="540"/>
        <w:gridCol w:w="60"/>
        <w:gridCol w:w="120"/>
        <w:gridCol w:w="40"/>
        <w:gridCol w:w="20"/>
        <w:gridCol w:w="20"/>
        <w:gridCol w:w="40"/>
        <w:gridCol w:w="20"/>
        <w:gridCol w:w="20"/>
        <w:gridCol w:w="40"/>
        <w:gridCol w:w="280"/>
        <w:gridCol w:w="60"/>
        <w:gridCol w:w="20"/>
      </w:tblGrid>
      <w:tr w:rsidR="00C612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5960" w:type="dxa"/>
            <w:gridSpan w:val="12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roofErr w:type="spellStart"/>
            <w:r>
              <w:rPr>
                <w:b/>
              </w:rPr>
              <w:t>Виконавчий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комітет</w:t>
            </w:r>
            <w:proofErr w:type="spellEnd"/>
            <w:r>
              <w:rPr>
                <w:b/>
              </w:rPr>
              <w:t xml:space="preserve"> Степанківської сільської ради</w:t>
            </w: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66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04408844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66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160" w:type="dxa"/>
            <w:gridSpan w:val="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0211200</w:t>
            </w:r>
          </w:p>
        </w:tc>
        <w:tc>
          <w:tcPr>
            <w:tcW w:w="2340" w:type="dxa"/>
            <w:gridSpan w:val="12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1200</w:t>
            </w:r>
          </w:p>
        </w:tc>
        <w:tc>
          <w:tcPr>
            <w:tcW w:w="1760" w:type="dxa"/>
            <w:gridSpan w:val="13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0990</w:t>
            </w:r>
          </w:p>
        </w:tc>
        <w:tc>
          <w:tcPr>
            <w:tcW w:w="6520" w:type="dxa"/>
            <w:gridSpan w:val="66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 w:rsidP="00740307">
            <w:pPr>
              <w:jc w:val="center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рахунок </w:t>
            </w:r>
            <w:proofErr w:type="spellStart"/>
            <w:r>
              <w:t>субвенції</w:t>
            </w:r>
            <w:proofErr w:type="spellEnd"/>
            <w:r>
              <w:t xml:space="preserve"> з державного бюджету </w:t>
            </w:r>
            <w:proofErr w:type="spellStart"/>
            <w:r>
              <w:t>місцевим</w:t>
            </w:r>
            <w:proofErr w:type="spellEnd"/>
            <w:r>
              <w:t xml:space="preserve"> бюджетам на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особам з </w:t>
            </w:r>
            <w:proofErr w:type="spellStart"/>
            <w:r>
              <w:t>особливими</w:t>
            </w:r>
            <w:proofErr w:type="spellEnd"/>
            <w:r>
              <w:t xml:space="preserve"> </w:t>
            </w:r>
            <w:proofErr w:type="spellStart"/>
            <w:r>
              <w:t>освітніми</w:t>
            </w:r>
            <w:proofErr w:type="spellEnd"/>
            <w:r>
              <w:t xml:space="preserve"> потребами</w:t>
            </w: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vMerge w:val="restart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t>23521000000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9A1BE4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340" w:type="dxa"/>
            <w:gridSpan w:val="12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760" w:type="dxa"/>
            <w:gridSpan w:val="13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6520" w:type="dxa"/>
            <w:gridSpan w:val="66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vMerge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360" w:type="dxa"/>
            <w:gridSpan w:val="2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5960" w:type="dxa"/>
            <w:gridSpan w:val="124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2AE" w:rsidRDefault="009A1BE4">
            <w:pPr>
              <w:spacing w:after="200"/>
              <w:ind w:left="50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особам з </w:t>
            </w:r>
            <w:proofErr w:type="spellStart"/>
            <w:r>
              <w:t>особливими</w:t>
            </w:r>
            <w:proofErr w:type="spellEnd"/>
            <w:r>
              <w:t xml:space="preserve"> </w:t>
            </w:r>
            <w:proofErr w:type="spellStart"/>
            <w:r>
              <w:t>освітніми</w:t>
            </w:r>
            <w:proofErr w:type="spellEnd"/>
            <w:r>
              <w:t xml:space="preserve"> потребами</w:t>
            </w: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</w:tcPr>
          <w:p w:rsidR="00C612AE" w:rsidRDefault="009A1BE4">
            <w:pPr>
              <w:ind w:left="50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особам з </w:t>
            </w:r>
            <w:proofErr w:type="spellStart"/>
            <w:r>
              <w:t>особливими</w:t>
            </w:r>
            <w:proofErr w:type="spellEnd"/>
            <w:r>
              <w:t xml:space="preserve"> </w:t>
            </w:r>
            <w:proofErr w:type="spellStart"/>
            <w:r>
              <w:t>освітніми</w:t>
            </w:r>
            <w:proofErr w:type="spellEnd"/>
            <w:r>
              <w:t xml:space="preserve"> потребами</w:t>
            </w: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2AE" w:rsidRDefault="009A1BE4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"</w:t>
            </w: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5960" w:type="dxa"/>
            <w:gridSpan w:val="124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170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20 732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20 732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60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22 017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22 017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23 184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23 184</w:t>
            </w: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22 017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502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16 994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16 994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3 738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3 738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502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2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18 048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18 048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19 004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19 004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3 970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3 970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4 180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4 180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2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502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20 732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2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22 018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23 184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22 018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23 184</w:t>
            </w: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16840" w:type="dxa"/>
            <w:gridSpan w:val="1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2AE" w:rsidRDefault="009A1BE4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59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C612A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C612AE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потребами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20732,00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20732,00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годин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корекційних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занять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годин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засобів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корекції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5183,00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5183,00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годин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корекційних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занять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годин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294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9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потребами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кошторис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22018,00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22018,00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23184,00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23184,00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годин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корекційних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занять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годин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120,00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5504,50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5504,50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5796,00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5796,00</w:t>
            </w: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годин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додаткових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корекційних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занять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годин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408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C612AE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41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120" w:type="dxa"/>
              <w:left w:w="0" w:type="dxa"/>
              <w:bottom w:w="0" w:type="dxa"/>
              <w:right w:w="0" w:type="dxa"/>
            </w:tcMar>
          </w:tcPr>
          <w:p w:rsidR="00C612AE" w:rsidRDefault="009A1BE4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468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2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38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42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</w:t>
            </w:r>
            <w:r>
              <w:rPr>
                <w:sz w:val="16"/>
              </w:rPr>
              <w:t>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2AE" w:rsidRDefault="009A1BE4">
            <w:pPr>
              <w:spacing w:after="20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</w:t>
            </w:r>
            <w:r>
              <w:t>вався</w:t>
            </w:r>
            <w:proofErr w:type="spellEnd"/>
            <w:r>
              <w:t xml:space="preserve"> по </w:t>
            </w:r>
            <w:proofErr w:type="spellStart"/>
            <w:r>
              <w:t>бюджетній</w:t>
            </w:r>
            <w:proofErr w:type="spellEnd"/>
            <w:r>
              <w:t xml:space="preserve"> </w:t>
            </w:r>
            <w:proofErr w:type="spellStart"/>
            <w:r>
              <w:t>програмі</w:t>
            </w:r>
            <w:proofErr w:type="spellEnd"/>
            <w:r>
              <w:t xml:space="preserve"> "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 рахунок </w:t>
            </w:r>
            <w:proofErr w:type="spellStart"/>
            <w:r>
              <w:t>субвенції</w:t>
            </w:r>
            <w:proofErr w:type="spellEnd"/>
            <w:r>
              <w:t xml:space="preserve"> з державного бюджету </w:t>
            </w:r>
            <w:proofErr w:type="spellStart"/>
            <w:r>
              <w:t>місцевим</w:t>
            </w:r>
            <w:proofErr w:type="spellEnd"/>
            <w:r>
              <w:t xml:space="preserve"> бюджетам на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особам з </w:t>
            </w:r>
            <w:proofErr w:type="spellStart"/>
            <w:r>
              <w:t>особливими</w:t>
            </w:r>
            <w:proofErr w:type="spellEnd"/>
            <w:r>
              <w:t xml:space="preserve"> </w:t>
            </w:r>
            <w:proofErr w:type="spellStart"/>
            <w:r>
              <w:t>освітніми</w:t>
            </w:r>
            <w:proofErr w:type="spellEnd"/>
            <w:r>
              <w:t xml:space="preserve"> потребами"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>
              <w:t>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2380" w:type="dxa"/>
            <w:gridSpan w:val="8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8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4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left="60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478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16 994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16 994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3 738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sz w:val="16"/>
              </w:rPr>
              <w:t>3 738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9A1BE4">
            <w:pPr>
              <w:ind w:right="60"/>
              <w:jc w:val="right"/>
            </w:pPr>
            <w:r>
              <w:rPr>
                <w:b/>
                <w:sz w:val="16"/>
              </w:rPr>
              <w:t>20 732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4040" w:type="dxa"/>
            <w:gridSpan w:val="106"/>
            <w:tcMar>
              <w:top w:w="80" w:type="dxa"/>
              <w:left w:w="0" w:type="dxa"/>
              <w:bottom w:w="0" w:type="dxa"/>
              <w:right w:w="0" w:type="dxa"/>
            </w:tcMar>
          </w:tcPr>
          <w:p w:rsidR="00C612AE" w:rsidRDefault="009A1BE4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12AE" w:rsidRDefault="009A1B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12AE" w:rsidRDefault="00C612AE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left="60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left="60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12AE" w:rsidRDefault="00C612AE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C612AE">
            <w:pPr>
              <w:jc w:val="center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612AE" w:rsidRDefault="00C612AE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14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26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940" w:type="dxa"/>
            <w:gridSpan w:val="9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860" w:type="dxa"/>
            <w:gridSpan w:val="8"/>
          </w:tcPr>
          <w:p w:rsidR="00C612AE" w:rsidRDefault="00C612AE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C612AE" w:rsidRDefault="00C612AE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C612AE" w:rsidRDefault="00C612AE">
            <w:pPr>
              <w:pStyle w:val="EMPTYCELLSTYLE"/>
            </w:pPr>
          </w:p>
        </w:tc>
        <w:tc>
          <w:tcPr>
            <w:tcW w:w="460" w:type="dxa"/>
            <w:gridSpan w:val="5"/>
          </w:tcPr>
          <w:p w:rsidR="00C612AE" w:rsidRDefault="00C612AE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C612AE" w:rsidRDefault="00C612AE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612AE" w:rsidRDefault="009A1BE4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та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2021 </w:t>
            </w:r>
            <w:proofErr w:type="spellStart"/>
            <w:r>
              <w:t>році</w:t>
            </w:r>
            <w:proofErr w:type="spellEnd"/>
            <w:r>
              <w:t>.</w:t>
            </w: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 w:rsidTr="0074030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9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2AE" w:rsidRDefault="009A1BE4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</w:t>
            </w:r>
            <w:r>
              <w:rPr>
                <w:b/>
              </w:rPr>
              <w:t xml:space="preserve">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  <w:tr w:rsidR="00C612AE" w:rsidTr="00740307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50"/>
        </w:trPr>
        <w:tc>
          <w:tcPr>
            <w:tcW w:w="40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40" w:type="dxa"/>
          </w:tcPr>
          <w:p w:rsidR="00C612AE" w:rsidRDefault="00C612AE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740307" w:rsidRPr="00BB525D" w:rsidRDefault="00740307" w:rsidP="00740307">
            <w:pPr>
              <w:jc w:val="both"/>
              <w:rPr>
                <w:lang w:val="uk-UA"/>
              </w:rPr>
            </w:pPr>
            <w:r w:rsidRPr="00BB525D">
              <w:rPr>
                <w:lang w:val="uk-UA"/>
              </w:rPr>
              <w:t xml:space="preserve">Сільський голова                                                   </w:t>
            </w:r>
            <w:r>
              <w:rPr>
                <w:lang w:val="uk-UA"/>
              </w:rPr>
              <w:t xml:space="preserve">                          </w:t>
            </w:r>
            <w:r w:rsidRPr="00BB525D">
              <w:rPr>
                <w:lang w:val="uk-UA"/>
              </w:rPr>
              <w:t xml:space="preserve">                    Ігор ЧЕКАЛЕНКО</w:t>
            </w:r>
          </w:p>
          <w:p w:rsidR="00740307" w:rsidRPr="00BB525D" w:rsidRDefault="00740307" w:rsidP="00740307">
            <w:pPr>
              <w:jc w:val="both"/>
              <w:rPr>
                <w:lang w:val="uk-UA"/>
              </w:rPr>
            </w:pPr>
            <w:r w:rsidRPr="00BB525D">
              <w:rPr>
                <w:lang w:val="uk-UA"/>
              </w:rPr>
              <w:t xml:space="preserve">Начальник відділу планування, </w:t>
            </w:r>
          </w:p>
          <w:p w:rsidR="00740307" w:rsidRDefault="00740307" w:rsidP="007403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бухгалтерського обліку та звітності-</w:t>
            </w:r>
          </w:p>
          <w:p w:rsidR="00C612AE" w:rsidRDefault="00740307" w:rsidP="00740307">
            <w:pPr>
              <w:spacing w:after="200"/>
              <w:jc w:val="both"/>
            </w:pPr>
            <w:r>
              <w:rPr>
                <w:lang w:val="uk-UA"/>
              </w:rPr>
              <w:t>головний бухгалтер                                                                                             Любов ШУЛЬГІНА</w:t>
            </w:r>
            <w:bookmarkStart w:id="0" w:name="_GoBack"/>
            <w:bookmarkEnd w:id="0"/>
          </w:p>
        </w:tc>
        <w:tc>
          <w:tcPr>
            <w:tcW w:w="360" w:type="dxa"/>
            <w:gridSpan w:val="4"/>
          </w:tcPr>
          <w:p w:rsidR="00C612AE" w:rsidRDefault="00C612AE">
            <w:pPr>
              <w:pStyle w:val="EMPTYCELLSTYLE"/>
            </w:pPr>
          </w:p>
        </w:tc>
      </w:tr>
    </w:tbl>
    <w:p w:rsidR="00000000" w:rsidRDefault="009A1BE4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AE"/>
    <w:rsid w:val="00740307"/>
    <w:rsid w:val="009A1BE4"/>
    <w:rsid w:val="00C612AE"/>
    <w:rsid w:val="00C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F9AE6-B2E0-4025-82A2-ADB0B97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9A1B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cp:lastPrinted>2020-12-28T13:46:00Z</cp:lastPrinted>
  <dcterms:created xsi:type="dcterms:W3CDTF">2020-12-28T13:46:00Z</dcterms:created>
  <dcterms:modified xsi:type="dcterms:W3CDTF">2020-12-28T13:48:00Z</dcterms:modified>
</cp:coreProperties>
</file>