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1AC9D" w14:textId="77777777" w:rsidR="00E73274" w:rsidRPr="00E73274" w:rsidRDefault="00E73274" w:rsidP="00E73274">
      <w:pPr>
        <w:jc w:val="right"/>
      </w:pPr>
      <w:r w:rsidRPr="00E73274">
        <w:t>Додаток № 1</w:t>
      </w:r>
    </w:p>
    <w:p w14:paraId="22C7F5E7" w14:textId="77777777" w:rsidR="00E73274" w:rsidRPr="00E73274" w:rsidRDefault="00E73274" w:rsidP="00E73274">
      <w:pPr>
        <w:jc w:val="right"/>
      </w:pPr>
      <w:r w:rsidRPr="00E73274">
        <w:t xml:space="preserve">до розпорядження </w:t>
      </w:r>
    </w:p>
    <w:p w14:paraId="6C3163ED" w14:textId="77777777" w:rsidR="00E73274" w:rsidRPr="00E73274" w:rsidRDefault="00E73274" w:rsidP="00E73274">
      <w:pPr>
        <w:jc w:val="right"/>
      </w:pPr>
      <w:r w:rsidRPr="00E73274">
        <w:t>від 23.11.2020 року № 156</w:t>
      </w:r>
    </w:p>
    <w:p w14:paraId="3DD3601A" w14:textId="77777777" w:rsidR="00E73274" w:rsidRPr="00E73274" w:rsidRDefault="00E73274" w:rsidP="00E73274">
      <w:pPr>
        <w:jc w:val="both"/>
        <w:rPr>
          <w:b/>
        </w:rPr>
      </w:pPr>
    </w:p>
    <w:p w14:paraId="711A9996" w14:textId="77777777" w:rsidR="00E73274" w:rsidRPr="00E73274" w:rsidRDefault="00E73274" w:rsidP="00E73274">
      <w:pPr>
        <w:jc w:val="center"/>
        <w:rPr>
          <w:b/>
          <w:bCs/>
        </w:rPr>
      </w:pPr>
      <w:r w:rsidRPr="00E73274">
        <w:rPr>
          <w:b/>
          <w:bCs/>
        </w:rPr>
        <w:t>ПОЛОЖЕННЯ</w:t>
      </w:r>
    </w:p>
    <w:p w14:paraId="24830F06" w14:textId="77777777" w:rsidR="00E73274" w:rsidRPr="00E73274" w:rsidRDefault="00E73274" w:rsidP="00E73274">
      <w:pPr>
        <w:jc w:val="center"/>
        <w:rPr>
          <w:b/>
        </w:rPr>
      </w:pPr>
      <w:r w:rsidRPr="00E73274">
        <w:rPr>
          <w:b/>
        </w:rPr>
        <w:t>про Робочу групу з розробки Стратегії розвитку</w:t>
      </w:r>
    </w:p>
    <w:p w14:paraId="52E412A6" w14:textId="77777777" w:rsidR="00E73274" w:rsidRPr="00E73274" w:rsidRDefault="00E73274" w:rsidP="00E73274">
      <w:pPr>
        <w:jc w:val="center"/>
        <w:rPr>
          <w:b/>
        </w:rPr>
      </w:pPr>
      <w:proofErr w:type="spellStart"/>
      <w:r w:rsidRPr="00E73274">
        <w:rPr>
          <w:b/>
        </w:rPr>
        <w:t>Степанківської</w:t>
      </w:r>
      <w:proofErr w:type="spellEnd"/>
      <w:r w:rsidRPr="00E73274">
        <w:rPr>
          <w:b/>
        </w:rPr>
        <w:t xml:space="preserve"> сільської</w:t>
      </w:r>
      <w:r w:rsidRPr="00E73274">
        <w:t xml:space="preserve"> </w:t>
      </w:r>
      <w:r w:rsidRPr="00E73274">
        <w:rPr>
          <w:b/>
        </w:rPr>
        <w:t>територіальної громади</w:t>
      </w:r>
      <w:r w:rsidRPr="00E73274">
        <w:rPr>
          <w:b/>
        </w:rPr>
        <w:br/>
        <w:t xml:space="preserve"> на період до 2027 року</w:t>
      </w:r>
    </w:p>
    <w:p w14:paraId="12AC505C" w14:textId="77777777" w:rsidR="00E73274" w:rsidRPr="00E73274" w:rsidRDefault="00E73274" w:rsidP="00E73274">
      <w:pPr>
        <w:jc w:val="both"/>
      </w:pPr>
    </w:p>
    <w:p w14:paraId="77939C08" w14:textId="77777777" w:rsidR="00E73274" w:rsidRPr="00E73274" w:rsidRDefault="00E73274" w:rsidP="00E73274">
      <w:pPr>
        <w:jc w:val="center"/>
        <w:rPr>
          <w:b/>
        </w:rPr>
      </w:pPr>
      <w:r w:rsidRPr="00E73274">
        <w:rPr>
          <w:b/>
        </w:rPr>
        <w:t>І. Загальні положення</w:t>
      </w:r>
    </w:p>
    <w:p w14:paraId="74D5CB1A" w14:textId="77777777" w:rsidR="00E73274" w:rsidRPr="00E73274" w:rsidRDefault="00E73274" w:rsidP="00E73274">
      <w:pPr>
        <w:jc w:val="both"/>
      </w:pPr>
      <w:r w:rsidRPr="00E73274">
        <w:tab/>
        <w:t xml:space="preserve">Робоча  група з розробки Стратегії розвитку </w:t>
      </w:r>
      <w:proofErr w:type="spellStart"/>
      <w:r w:rsidRPr="00E73274">
        <w:t>Степанківської</w:t>
      </w:r>
      <w:proofErr w:type="spellEnd"/>
      <w:r w:rsidRPr="00E73274">
        <w:t xml:space="preserve"> сільської територіальної громади ( далі – робоча група) створюється  з  метою  розробки  і  втілення Стратегії розвитку </w:t>
      </w:r>
      <w:proofErr w:type="spellStart"/>
      <w:r w:rsidRPr="00E73274">
        <w:t>Степанківської</w:t>
      </w:r>
      <w:proofErr w:type="spellEnd"/>
      <w:r w:rsidRPr="00E73274">
        <w:t xml:space="preserve"> сільської  територіальної громади на період до 2027 року (далі – Стратегія розвитку).</w:t>
      </w:r>
    </w:p>
    <w:p w14:paraId="48DD8960" w14:textId="77777777" w:rsidR="00E73274" w:rsidRPr="00E73274" w:rsidRDefault="00E73274" w:rsidP="00E73274">
      <w:pPr>
        <w:jc w:val="both"/>
      </w:pPr>
      <w:r w:rsidRPr="00E73274">
        <w:tab/>
        <w:t xml:space="preserve">Робоча група формується з представників виконавчого комітету </w:t>
      </w:r>
      <w:proofErr w:type="spellStart"/>
      <w:r w:rsidRPr="00E73274">
        <w:t>Степанківської</w:t>
      </w:r>
      <w:proofErr w:type="spellEnd"/>
      <w:r w:rsidRPr="00E73274">
        <w:t xml:space="preserve"> сільської ради, депутатів, бізнесових кіл, громадських та молодіжних організацій, активних жителів громади, фахівців з питань планування розвитку. Склад робочої групи затверджується та може бути змінений розпорядженням сільського голови. Робоча група працює постійно, на засадах повної добровільності, самовідданості та безкорисливості.</w:t>
      </w:r>
    </w:p>
    <w:p w14:paraId="75EBF520" w14:textId="77777777" w:rsidR="00E73274" w:rsidRPr="00E73274" w:rsidRDefault="00E73274" w:rsidP="00E73274">
      <w:pPr>
        <w:jc w:val="both"/>
      </w:pPr>
      <w:r w:rsidRPr="00E73274">
        <w:tab/>
        <w:t>До складу робочої групи можуть входити робочі підгрупи, комісії, фокусні групи. Умови їх діяльності визначаються окремо.</w:t>
      </w:r>
    </w:p>
    <w:p w14:paraId="7827B0E0" w14:textId="77777777" w:rsidR="00E73274" w:rsidRPr="00E73274" w:rsidRDefault="00E73274" w:rsidP="00E73274">
      <w:pPr>
        <w:jc w:val="both"/>
      </w:pPr>
    </w:p>
    <w:p w14:paraId="25B98314" w14:textId="77777777" w:rsidR="00E73274" w:rsidRPr="00E73274" w:rsidRDefault="00E73274" w:rsidP="00E73274">
      <w:pPr>
        <w:numPr>
          <w:ilvl w:val="0"/>
          <w:numId w:val="2"/>
        </w:numPr>
        <w:spacing w:after="200" w:line="276" w:lineRule="auto"/>
        <w:jc w:val="center"/>
        <w:rPr>
          <w:b/>
        </w:rPr>
      </w:pPr>
      <w:r w:rsidRPr="00E73274">
        <w:rPr>
          <w:b/>
        </w:rPr>
        <w:t>Функції</w:t>
      </w:r>
    </w:p>
    <w:p w14:paraId="58E659ED" w14:textId="77777777" w:rsidR="00E73274" w:rsidRPr="00E73274" w:rsidRDefault="00E73274" w:rsidP="00E73274">
      <w:pPr>
        <w:jc w:val="both"/>
      </w:pPr>
      <w:r w:rsidRPr="00E73274">
        <w:t>Робоча група в процесі діяльності:</w:t>
      </w:r>
    </w:p>
    <w:p w14:paraId="1814B3C3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t>розробляє проект бачення Стратегії розвитку;</w:t>
      </w:r>
    </w:p>
    <w:p w14:paraId="6D41116F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t>визначає напрями і пріоритети своєї роботи;</w:t>
      </w:r>
    </w:p>
    <w:p w14:paraId="7446C81B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t>розробляє план дій для втілення Стратегії розвитку;</w:t>
      </w:r>
    </w:p>
    <w:p w14:paraId="5A77AC84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t>розробляє анкетування для опитування серед жителів громади;</w:t>
      </w:r>
    </w:p>
    <w:p w14:paraId="3C2235C5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t>визначає</w:t>
      </w:r>
      <w:r w:rsidRPr="00E73274">
        <w:tab/>
        <w:t>проблеми</w:t>
      </w:r>
      <w:r w:rsidRPr="00E73274">
        <w:tab/>
        <w:t>та можливості</w:t>
      </w:r>
      <w:r w:rsidRPr="00E73274">
        <w:tab/>
        <w:t xml:space="preserve"> соціального та економічного розвитку громади;</w:t>
      </w:r>
    </w:p>
    <w:p w14:paraId="07759D0A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t>проводить економічні дослідження та фінансово-технічний аналіз;</w:t>
      </w:r>
    </w:p>
    <w:p w14:paraId="46162D46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t>проводить аналіз сильних та слабких сторін, можливостей та загроз  у розвитку громади;</w:t>
      </w:r>
    </w:p>
    <w:p w14:paraId="5BD3A973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t>визначає пріоритетні напрямки економічного і соціального розвитку;</w:t>
      </w:r>
    </w:p>
    <w:p w14:paraId="62188481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t>може приймати участь у розробці  інноваційних  проектів  та  вносить до них пропозиції щодо питань, які стосуються соціально-економічного розвитку громади в межах Стратегії розвитку;</w:t>
      </w:r>
    </w:p>
    <w:p w14:paraId="61A03FFF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t>організовує розповсюдження плану дій груп та проводить опитування серед жителів громади з метою накопичення пропозицій щодо включення в Стратегію;</w:t>
      </w:r>
    </w:p>
    <w:p w14:paraId="5BC4127F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lastRenderedPageBreak/>
        <w:t>узагальнює і оцінює результати опитування з метою включення їх в стратегічний план дій групи;</w:t>
      </w:r>
    </w:p>
    <w:p w14:paraId="0C066B74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t>організовує</w:t>
      </w:r>
      <w:r w:rsidRPr="00E73274">
        <w:tab/>
        <w:t>роботи</w:t>
      </w:r>
      <w:r w:rsidRPr="00E73274">
        <w:tab/>
        <w:t>по</w:t>
      </w:r>
      <w:r w:rsidRPr="00E73274">
        <w:tab/>
        <w:t>підготовці</w:t>
      </w:r>
      <w:r w:rsidRPr="00E73274">
        <w:tab/>
        <w:t>інформаційних</w:t>
      </w:r>
      <w:r w:rsidRPr="00E73274">
        <w:tab/>
        <w:t>документів</w:t>
      </w:r>
      <w:r w:rsidRPr="00E73274">
        <w:tab/>
        <w:t>з переліком і описом проектів щодо складання і виконання Стратегії розвитку;</w:t>
      </w:r>
    </w:p>
    <w:p w14:paraId="6D550865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t>організовує роботу з засобами масової інформації;</w:t>
      </w:r>
    </w:p>
    <w:p w14:paraId="723000ED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t>розробляє</w:t>
      </w:r>
      <w:r w:rsidRPr="00E73274">
        <w:tab/>
        <w:t>концепцію</w:t>
      </w:r>
      <w:r w:rsidRPr="00E73274">
        <w:tab/>
        <w:t>стратегічного</w:t>
      </w:r>
      <w:r w:rsidRPr="00E73274">
        <w:tab/>
        <w:t>бачення</w:t>
      </w:r>
      <w:r w:rsidRPr="00E73274">
        <w:tab/>
        <w:t>та</w:t>
      </w:r>
      <w:r w:rsidRPr="00E73274">
        <w:tab/>
        <w:t>напрямів</w:t>
      </w:r>
      <w:r w:rsidRPr="00E73274">
        <w:tab/>
        <w:t>по досягненню довго- і короткострокових цілей;</w:t>
      </w:r>
    </w:p>
    <w:p w14:paraId="36A07637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t>формує   склади   робочих    комісій   за  стратегічними напрямками розвитку громади;</w:t>
      </w:r>
    </w:p>
    <w:p w14:paraId="44E3E808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t>розробляє положення  про  робочі  підгрупи,  комісії, фокусні  групи та організовує їх роботу;</w:t>
      </w:r>
    </w:p>
    <w:p w14:paraId="764962C1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t>затверджує ведучих фокусних груп;</w:t>
      </w:r>
    </w:p>
    <w:p w14:paraId="785E7CDF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t>затверджує теми соціально-психологічних досліджень;</w:t>
      </w:r>
    </w:p>
    <w:p w14:paraId="5BE97377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t>залучає до роботи фахівців та спеціалістів  з  обговорюваних питань;</w:t>
      </w:r>
    </w:p>
    <w:p w14:paraId="25FF9132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jc w:val="both"/>
      </w:pPr>
      <w:r w:rsidRPr="00E73274">
        <w:t xml:space="preserve">приймає участь у розробці та подає проект Стратегії розвитку на затвердження </w:t>
      </w:r>
      <w:proofErr w:type="spellStart"/>
      <w:r w:rsidRPr="00E73274">
        <w:t>Степанківській</w:t>
      </w:r>
      <w:proofErr w:type="spellEnd"/>
      <w:r w:rsidRPr="00E73274">
        <w:t xml:space="preserve"> сільській раді.</w:t>
      </w:r>
    </w:p>
    <w:p w14:paraId="5871F365" w14:textId="77777777" w:rsidR="00E73274" w:rsidRPr="00E73274" w:rsidRDefault="00E73274" w:rsidP="00E73274">
      <w:pPr>
        <w:jc w:val="both"/>
      </w:pPr>
    </w:p>
    <w:p w14:paraId="2693476E" w14:textId="77777777" w:rsidR="00E73274" w:rsidRPr="00E73274" w:rsidRDefault="00E73274" w:rsidP="00E73274">
      <w:pPr>
        <w:numPr>
          <w:ilvl w:val="0"/>
          <w:numId w:val="2"/>
        </w:numPr>
        <w:spacing w:after="200" w:line="276" w:lineRule="auto"/>
        <w:jc w:val="center"/>
        <w:rPr>
          <w:b/>
          <w:bCs/>
        </w:rPr>
      </w:pPr>
      <w:r w:rsidRPr="00E73274">
        <w:rPr>
          <w:b/>
          <w:bCs/>
        </w:rPr>
        <w:t>Повноваження робочої групи</w:t>
      </w:r>
    </w:p>
    <w:p w14:paraId="7B28035A" w14:textId="77777777" w:rsidR="00E73274" w:rsidRPr="00E73274" w:rsidRDefault="00E73274" w:rsidP="00E73274">
      <w:pPr>
        <w:jc w:val="both"/>
      </w:pPr>
      <w:r w:rsidRPr="00E73274">
        <w:tab/>
        <w:t xml:space="preserve">Організація роботи Робочої групи покладається на керівника робочої групи, його заступника та секретаря. </w:t>
      </w:r>
    </w:p>
    <w:p w14:paraId="49157CF8" w14:textId="77777777" w:rsidR="00E73274" w:rsidRPr="00E73274" w:rsidRDefault="00E73274" w:rsidP="00E73274">
      <w:pPr>
        <w:jc w:val="both"/>
      </w:pPr>
      <w:r w:rsidRPr="00E73274">
        <w:tab/>
        <w:t xml:space="preserve">Керівник  Робочої групи, </w:t>
      </w:r>
      <w:proofErr w:type="spellStart"/>
      <w:r w:rsidRPr="00E73274">
        <w:t>скликає</w:t>
      </w:r>
      <w:proofErr w:type="spellEnd"/>
      <w:r w:rsidRPr="00E73274">
        <w:t xml:space="preserve"> та веде засідання, дає доручення членам групи, представляє групу у відносинах з іншими органами, об’єднаннями громадян, підприємств, установ та організацій, організовує роботу по реалізації висновків та рекомендацій робочої групи, залучає до роботи експертів та консультантів з питань розробки Стратегії розвитку.</w:t>
      </w:r>
      <w:r w:rsidRPr="00E73274">
        <w:tab/>
        <w:t xml:space="preserve">  </w:t>
      </w:r>
      <w:r w:rsidRPr="00E73274">
        <w:tab/>
        <w:t xml:space="preserve">У разі відсутності керівника групи або неможливості ним виконувати своїх повноважень, головні його  функції  здійснює  заступник  керівника,  або  один  із  його помічників. </w:t>
      </w:r>
    </w:p>
    <w:p w14:paraId="586817E0" w14:textId="77777777" w:rsidR="00E73274" w:rsidRPr="00E73274" w:rsidRDefault="00E73274" w:rsidP="00E73274">
      <w:pPr>
        <w:jc w:val="both"/>
      </w:pPr>
      <w:r w:rsidRPr="00E73274">
        <w:tab/>
        <w:t>Засідання робочої  групи  є  легітимним,  якщо  в  роботі  бере  участь не менш як половина від загального складу групи.</w:t>
      </w:r>
    </w:p>
    <w:p w14:paraId="2C68C7CA" w14:textId="77777777" w:rsidR="00E73274" w:rsidRPr="00E73274" w:rsidRDefault="00E73274" w:rsidP="00E73274">
      <w:pPr>
        <w:jc w:val="both"/>
      </w:pPr>
      <w:r w:rsidRPr="00E73274">
        <w:tab/>
        <w:t>За результатами розгляду і вивчення питань робоча група готує висновки і рекомендації. Висновки і рекомендації  робочою  групою приймаються за взаємною згодою членів групи, які приймають участь у засіданні і підписуються керівником робочої групи, а у разі його відсутності – заступником голови робочої групи, або одним із помічників керівника робочої групи. Протокол засідань робочої групи підписується керівником та секретарем групи.</w:t>
      </w:r>
    </w:p>
    <w:p w14:paraId="4AC55AF0" w14:textId="77777777" w:rsidR="00E73274" w:rsidRPr="00E73274" w:rsidRDefault="00E73274" w:rsidP="00E73274">
      <w:pPr>
        <w:jc w:val="center"/>
        <w:rPr>
          <w:b/>
          <w:bCs/>
        </w:rPr>
      </w:pPr>
      <w:r w:rsidRPr="00E73274">
        <w:rPr>
          <w:b/>
          <w:bCs/>
        </w:rPr>
        <w:t>Робоча група має право:</w:t>
      </w:r>
    </w:p>
    <w:p w14:paraId="103E78C4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ind w:left="113" w:hanging="425"/>
        <w:jc w:val="both"/>
      </w:pPr>
      <w:r w:rsidRPr="00E73274">
        <w:t>отримувати інформацію, необхідну для розробки Стратегії розвитку, в організаціях, установах громади, незалежно від їх відомчого підпорядкування, форми власності та господарювання;</w:t>
      </w:r>
    </w:p>
    <w:p w14:paraId="47ABA6EF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ind w:left="113" w:hanging="425"/>
        <w:jc w:val="both"/>
      </w:pPr>
      <w:r w:rsidRPr="00E73274">
        <w:lastRenderedPageBreak/>
        <w:t>проводити опитування громадян чи проводити іншу діяльність для вивчення громадської думки щодо Стратегії розвитку;</w:t>
      </w:r>
    </w:p>
    <w:p w14:paraId="1F2FED5A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ind w:left="113" w:hanging="425"/>
        <w:jc w:val="both"/>
      </w:pPr>
      <w:r w:rsidRPr="00E73274">
        <w:t>проводити роз’яснювальну роботу серед жителів громади з питань розробки і втілення Стратегії розвитку та значення його необхідності;</w:t>
      </w:r>
    </w:p>
    <w:p w14:paraId="0CB156F6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ind w:left="113" w:hanging="425"/>
        <w:jc w:val="both"/>
      </w:pPr>
      <w:r w:rsidRPr="00E73274">
        <w:t>вносити   пропозиції щодо розгляду питань, які необхідно вирішити з метою покращення соціально-економічної ситуації в громаді в межах розробки і втілення Стратегії розвитку;</w:t>
      </w:r>
    </w:p>
    <w:p w14:paraId="0A61D6DD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ind w:left="113" w:hanging="425"/>
        <w:jc w:val="both"/>
      </w:pPr>
      <w:r w:rsidRPr="00E73274">
        <w:t>приймати участь у підготовці і проведенні громадських слухань щодо Стратегії розвитку;</w:t>
      </w:r>
    </w:p>
    <w:p w14:paraId="667C984D" w14:textId="77777777" w:rsidR="00E73274" w:rsidRPr="00E73274" w:rsidRDefault="00E73274" w:rsidP="00E73274">
      <w:pPr>
        <w:numPr>
          <w:ilvl w:val="0"/>
          <w:numId w:val="3"/>
        </w:numPr>
        <w:spacing w:line="276" w:lineRule="auto"/>
        <w:ind w:left="113" w:hanging="425"/>
        <w:jc w:val="both"/>
      </w:pPr>
      <w:r w:rsidRPr="00E73274">
        <w:t>розробляє та узгоджує проекти договорів, пов’язаних з розробкою Стратегії розвитку.</w:t>
      </w:r>
    </w:p>
    <w:p w14:paraId="54EBAEC5" w14:textId="77777777" w:rsidR="00E73274" w:rsidRPr="00E73274" w:rsidRDefault="00E73274" w:rsidP="00E73274">
      <w:pPr>
        <w:jc w:val="both"/>
      </w:pPr>
    </w:p>
    <w:p w14:paraId="709C8B83" w14:textId="77777777" w:rsidR="00E73274" w:rsidRPr="00E73274" w:rsidRDefault="00E73274" w:rsidP="00E73274">
      <w:pPr>
        <w:jc w:val="center"/>
        <w:rPr>
          <w:b/>
          <w:bCs/>
        </w:rPr>
      </w:pPr>
      <w:r w:rsidRPr="00E73274">
        <w:rPr>
          <w:b/>
          <w:bCs/>
        </w:rPr>
        <w:t>ІV. Обов’язки  Робочої групи</w:t>
      </w:r>
    </w:p>
    <w:p w14:paraId="40A11986" w14:textId="77777777" w:rsidR="00E73274" w:rsidRPr="00E73274" w:rsidRDefault="00E73274" w:rsidP="00E73274">
      <w:pPr>
        <w:jc w:val="both"/>
      </w:pPr>
      <w:r w:rsidRPr="00E73274">
        <w:tab/>
        <w:t>Члени  робочої   групи   виконують   доручення   керівника робочої   групи в межах завдань Стратегії розвитку.</w:t>
      </w:r>
    </w:p>
    <w:p w14:paraId="7F5D0A1C" w14:textId="77777777" w:rsidR="00E73274" w:rsidRPr="00E73274" w:rsidRDefault="00E73274" w:rsidP="00E73274">
      <w:pPr>
        <w:jc w:val="both"/>
      </w:pPr>
      <w:r w:rsidRPr="00E73274">
        <w:tab/>
        <w:t>Члени робочої групи несуть особисту відповідальність за достовірне і своєчасне опрацювання отриманих інформаційних та розрахункових документів і матеріалів, що стосуються виконання завдань щодо Стратегії розвитку.</w:t>
      </w:r>
    </w:p>
    <w:p w14:paraId="2F59CB9C" w14:textId="77777777" w:rsidR="00E73274" w:rsidRPr="00E73274" w:rsidRDefault="00E73274" w:rsidP="00E73274">
      <w:pPr>
        <w:jc w:val="both"/>
        <w:rPr>
          <w:i/>
        </w:rPr>
      </w:pPr>
    </w:p>
    <w:p w14:paraId="22E4E7D4" w14:textId="77777777" w:rsidR="00E73274" w:rsidRPr="00E73274" w:rsidRDefault="00E73274" w:rsidP="00E73274">
      <w:pPr>
        <w:jc w:val="both"/>
        <w:rPr>
          <w:i/>
        </w:rPr>
      </w:pPr>
    </w:p>
    <w:p w14:paraId="429E86C8" w14:textId="77777777" w:rsidR="00E73274" w:rsidRPr="00E73274" w:rsidRDefault="00E73274" w:rsidP="00E73274">
      <w:pPr>
        <w:jc w:val="both"/>
        <w:rPr>
          <w:color w:val="auto"/>
        </w:rPr>
      </w:pPr>
      <w:r w:rsidRPr="00E73274">
        <w:rPr>
          <w:color w:val="000000" w:themeColor="text1"/>
        </w:rPr>
        <w:t>Сільський голова                                                                       Ігор ЧЕКАЛЕНКО</w:t>
      </w:r>
      <w:bookmarkStart w:id="0" w:name="_GoBack"/>
      <w:bookmarkEnd w:id="0"/>
    </w:p>
    <w:p w14:paraId="2D6BEAC6" w14:textId="77777777" w:rsidR="00665237" w:rsidRPr="00E73274" w:rsidRDefault="00665237" w:rsidP="00E73274"/>
    <w:sectPr w:rsidR="00665237" w:rsidRPr="00E7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25200"/>
    <w:multiLevelType w:val="hybridMultilevel"/>
    <w:tmpl w:val="5D88BB74"/>
    <w:lvl w:ilvl="0" w:tplc="C6F890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3011A"/>
    <w:multiLevelType w:val="hybridMultilevel"/>
    <w:tmpl w:val="F926EC00"/>
    <w:lvl w:ilvl="0" w:tplc="486A7AFE">
      <w:start w:val="2"/>
      <w:numFmt w:val="upperRoman"/>
      <w:lvlText w:val="%1."/>
      <w:lvlJc w:val="left"/>
      <w:pPr>
        <w:ind w:left="1383" w:hanging="36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1" w:tplc="D22C9A78">
      <w:numFmt w:val="bullet"/>
      <w:lvlText w:val="•"/>
      <w:lvlJc w:val="left"/>
      <w:pPr>
        <w:ind w:left="2228" w:hanging="365"/>
      </w:pPr>
    </w:lvl>
    <w:lvl w:ilvl="2" w:tplc="7B421658">
      <w:numFmt w:val="bullet"/>
      <w:lvlText w:val="•"/>
      <w:lvlJc w:val="left"/>
      <w:pPr>
        <w:ind w:left="3076" w:hanging="365"/>
      </w:pPr>
    </w:lvl>
    <w:lvl w:ilvl="3" w:tplc="B42C7C48">
      <w:numFmt w:val="bullet"/>
      <w:lvlText w:val="•"/>
      <w:lvlJc w:val="left"/>
      <w:pPr>
        <w:ind w:left="3924" w:hanging="365"/>
      </w:pPr>
    </w:lvl>
    <w:lvl w:ilvl="4" w:tplc="67743F60">
      <w:numFmt w:val="bullet"/>
      <w:lvlText w:val="•"/>
      <w:lvlJc w:val="left"/>
      <w:pPr>
        <w:ind w:left="4772" w:hanging="365"/>
      </w:pPr>
    </w:lvl>
    <w:lvl w:ilvl="5" w:tplc="96326EA4">
      <w:numFmt w:val="bullet"/>
      <w:lvlText w:val="•"/>
      <w:lvlJc w:val="left"/>
      <w:pPr>
        <w:ind w:left="5620" w:hanging="365"/>
      </w:pPr>
    </w:lvl>
    <w:lvl w:ilvl="6" w:tplc="1AEC3172">
      <w:numFmt w:val="bullet"/>
      <w:lvlText w:val="•"/>
      <w:lvlJc w:val="left"/>
      <w:pPr>
        <w:ind w:left="6468" w:hanging="365"/>
      </w:pPr>
    </w:lvl>
    <w:lvl w:ilvl="7" w:tplc="5A4C8F00">
      <w:numFmt w:val="bullet"/>
      <w:lvlText w:val="•"/>
      <w:lvlJc w:val="left"/>
      <w:pPr>
        <w:ind w:left="7316" w:hanging="365"/>
      </w:pPr>
    </w:lvl>
    <w:lvl w:ilvl="8" w:tplc="7CFE8A38">
      <w:numFmt w:val="bullet"/>
      <w:lvlText w:val="•"/>
      <w:lvlJc w:val="left"/>
      <w:pPr>
        <w:ind w:left="8164" w:hanging="365"/>
      </w:pPr>
    </w:lvl>
  </w:abstractNum>
  <w:abstractNum w:abstractNumId="2" w15:restartNumberingAfterBreak="0">
    <w:nsid w:val="55BA0083"/>
    <w:multiLevelType w:val="hybridMultilevel"/>
    <w:tmpl w:val="C624EF84"/>
    <w:lvl w:ilvl="0" w:tplc="382441E4">
      <w:numFmt w:val="bullet"/>
      <w:lvlText w:val=""/>
      <w:lvlJc w:val="left"/>
      <w:pPr>
        <w:ind w:left="116" w:hanging="428"/>
      </w:pPr>
      <w:rPr>
        <w:rFonts w:ascii="Symbol" w:eastAsia="Symbol" w:hAnsi="Symbol" w:cs="Symbol" w:hint="default"/>
        <w:w w:val="99"/>
        <w:sz w:val="28"/>
        <w:szCs w:val="28"/>
      </w:rPr>
    </w:lvl>
    <w:lvl w:ilvl="1" w:tplc="1794C912">
      <w:numFmt w:val="bullet"/>
      <w:lvlText w:val="•"/>
      <w:lvlJc w:val="left"/>
      <w:pPr>
        <w:ind w:left="1094" w:hanging="428"/>
      </w:pPr>
    </w:lvl>
    <w:lvl w:ilvl="2" w:tplc="3F645878">
      <w:numFmt w:val="bullet"/>
      <w:lvlText w:val="•"/>
      <w:lvlJc w:val="left"/>
      <w:pPr>
        <w:ind w:left="2068" w:hanging="428"/>
      </w:pPr>
    </w:lvl>
    <w:lvl w:ilvl="3" w:tplc="830CD9AA">
      <w:numFmt w:val="bullet"/>
      <w:lvlText w:val="•"/>
      <w:lvlJc w:val="left"/>
      <w:pPr>
        <w:ind w:left="3042" w:hanging="428"/>
      </w:pPr>
    </w:lvl>
    <w:lvl w:ilvl="4" w:tplc="FE74497C">
      <w:numFmt w:val="bullet"/>
      <w:lvlText w:val="•"/>
      <w:lvlJc w:val="left"/>
      <w:pPr>
        <w:ind w:left="4016" w:hanging="428"/>
      </w:pPr>
    </w:lvl>
    <w:lvl w:ilvl="5" w:tplc="AAFE6E8C">
      <w:numFmt w:val="bullet"/>
      <w:lvlText w:val="•"/>
      <w:lvlJc w:val="left"/>
      <w:pPr>
        <w:ind w:left="4990" w:hanging="428"/>
      </w:pPr>
    </w:lvl>
    <w:lvl w:ilvl="6" w:tplc="48C89C96">
      <w:numFmt w:val="bullet"/>
      <w:lvlText w:val="•"/>
      <w:lvlJc w:val="left"/>
      <w:pPr>
        <w:ind w:left="5964" w:hanging="428"/>
      </w:pPr>
    </w:lvl>
    <w:lvl w:ilvl="7" w:tplc="A61AD406">
      <w:numFmt w:val="bullet"/>
      <w:lvlText w:val="•"/>
      <w:lvlJc w:val="left"/>
      <w:pPr>
        <w:ind w:left="6938" w:hanging="428"/>
      </w:pPr>
    </w:lvl>
    <w:lvl w:ilvl="8" w:tplc="AC7C9360">
      <w:numFmt w:val="bullet"/>
      <w:lvlText w:val="•"/>
      <w:lvlJc w:val="left"/>
      <w:pPr>
        <w:ind w:left="7912" w:hanging="428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83"/>
    <w:rsid w:val="001A3383"/>
    <w:rsid w:val="00665237"/>
    <w:rsid w:val="006A4EF5"/>
    <w:rsid w:val="00E7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C4ED"/>
  <w15:chartTrackingRefBased/>
  <w15:docId w15:val="{6B61DE96-333A-4C98-8637-1B48BAF5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E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4EF5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6A4EF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Volodin</dc:creator>
  <cp:keywords/>
  <dc:description/>
  <cp:lastModifiedBy>Sergey Volodin</cp:lastModifiedBy>
  <cp:revision>2</cp:revision>
  <dcterms:created xsi:type="dcterms:W3CDTF">2021-02-23T09:35:00Z</dcterms:created>
  <dcterms:modified xsi:type="dcterms:W3CDTF">2021-02-23T09:35:00Z</dcterms:modified>
</cp:coreProperties>
</file>