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866A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56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66AA8" w:rsidRDefault="00866AA8">
            <w:pPr>
              <w:pStyle w:val="EMPTYCELLSTYLE"/>
            </w:pPr>
          </w:p>
        </w:tc>
        <w:tc>
          <w:tcPr>
            <w:tcW w:w="32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8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02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8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56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66AA8" w:rsidRDefault="00866AA8">
            <w:pPr>
              <w:pStyle w:val="EMPTYCELLSTYLE"/>
            </w:pPr>
          </w:p>
        </w:tc>
        <w:tc>
          <w:tcPr>
            <w:tcW w:w="32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8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02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8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56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66AA8" w:rsidRDefault="00866AA8">
            <w:pPr>
              <w:pStyle w:val="EMPTYCELLSTYLE"/>
            </w:pPr>
          </w:p>
        </w:tc>
        <w:tc>
          <w:tcPr>
            <w:tcW w:w="32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8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02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8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AA8" w:rsidRDefault="00BF1AB8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AA8" w:rsidRDefault="00BF1AB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AA8" w:rsidRDefault="00BF1AB8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6AA8" w:rsidRDefault="00BF1AB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6AA8" w:rsidRDefault="00BF1AB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AA8" w:rsidRDefault="00BF1AB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AA8" w:rsidRDefault="00BF1AB8">
            <w:r>
              <w:t>Виконавчий комітет 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6AA8" w:rsidRDefault="00BF1AB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6AA8" w:rsidRDefault="00BF1AB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AA8" w:rsidRDefault="00BF1AB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b/>
              </w:rPr>
              <w:t>0214030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t>4030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t xml:space="preserve">  0824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left="60"/>
              <w:jc w:val="both"/>
            </w:pPr>
            <w:r>
              <w:t>Забезпечення діяльності бібліотек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r>
              <w:t>Забезпечення прав громадян на бібліотечне обслуговування, загальну доступність до інформації та культурних цінностей, що збираються, зберігаються, надаються в тимчасове користування бібліотеками 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56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66AA8" w:rsidRDefault="00866AA8">
            <w:pPr>
              <w:pStyle w:val="EMPTYCELLSTYLE"/>
            </w:pPr>
          </w:p>
        </w:tc>
        <w:tc>
          <w:tcPr>
            <w:tcW w:w="32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8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02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8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бібліотечних фондів, їх облік, контроль за </w:t>
            </w:r>
            <w:r>
              <w:t>виконанням  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56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66AA8" w:rsidRDefault="00866AA8">
            <w:pPr>
              <w:pStyle w:val="EMPTYCELLSTYLE"/>
            </w:pPr>
          </w:p>
        </w:tc>
        <w:tc>
          <w:tcPr>
            <w:tcW w:w="32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8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02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8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бібліотечних фондів, їх облік, контроль за </w:t>
            </w:r>
            <w:r>
              <w:rPr>
                <w:rFonts w:ascii="Arial" w:eastAsia="Arial" w:hAnsi="Arial" w:cs="Arial"/>
                <w:i/>
                <w:sz w:val="16"/>
              </w:rPr>
              <w:t>виконанням  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353125,00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996,00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354121,00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331362,25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996,00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332358,25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-21762,75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-21762,75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56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66AA8" w:rsidRDefault="00866AA8">
            <w:pPr>
              <w:pStyle w:val="EMPTYCELLSTYLE"/>
            </w:pPr>
          </w:p>
        </w:tc>
        <w:tc>
          <w:tcPr>
            <w:tcW w:w="32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8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02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8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6AA8" w:rsidRDefault="00866AA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44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866AA8">
            <w:pPr>
              <w:ind w:left="60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виконання заходів, завдань, проектів (робіт) у сфері інформатизації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12000,00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12000,00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4603,56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4603,56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-7396,44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-7396,44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866AA8">
            <w:pPr>
              <w:ind w:left="60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44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«Забезпечення діяльності бібліотек» за напрямком 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</w:t>
            </w:r>
            <w:r>
              <w:rPr>
                <w:rFonts w:ascii="Arial" w:eastAsia="Arial" w:hAnsi="Arial" w:cs="Arial"/>
                <w:sz w:val="16"/>
              </w:rPr>
              <w:t>итку громадян, комплектування та зберігання бібліотечних фондів, їх облік, контроль за виконанням  за 2020 рік по загальному фонду бюджету становить 335965,81 грн., що на 29159,19 грн. менше від видатків затверджених у паспорті бюджетної програми, виконанн</w:t>
            </w:r>
            <w:r>
              <w:rPr>
                <w:rFonts w:ascii="Arial" w:eastAsia="Arial" w:hAnsi="Arial" w:cs="Arial"/>
                <w:sz w:val="16"/>
              </w:rPr>
              <w:t>я становить 92,01% до уточненого річного плану. Відхилення касових видатків від затверджених бюджетною програмою пояснюється тим, що за деякими видатками на кінець року склалась економія всього в сумі 29159,19 грн., а саме по видатках: на заробітну плату в</w:t>
            </w:r>
            <w:r>
              <w:rPr>
                <w:rFonts w:ascii="Arial" w:eastAsia="Arial" w:hAnsi="Arial" w:cs="Arial"/>
                <w:sz w:val="16"/>
              </w:rPr>
              <w:t xml:space="preserve"> сумі 9005,84 грн., на нарахування на оплату праці в сумі 36,41 грн., на придбання предметів, матеріалів, обладнання, інвентарю в сумі 9120,50 грн., на оплату послуг в сумі 7396,44 грн., на інші поточні видатки в сумі 600,00 грн.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365125,00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76390,52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441515,52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335965,81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76390,52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412356,33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-29159,19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-29159,19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44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"Розвиток культури" на 2019-2020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353125,00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353125,00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331362,25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331362,25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-21762,75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8"/>
              </w:rPr>
              <w:t>-21762,75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866AA8">
            <w:pPr>
              <w:ind w:left="60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"Інформатизація Степанківської сільської об'єднаної територіальної громади"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12000,00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12000,00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4603,56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4603,56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-7396,44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8"/>
              </w:rPr>
              <w:t>-7396,44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866AA8">
            <w:pPr>
              <w:ind w:left="60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365125,00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365125,00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335965,81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335965,81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-29159,19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right="60"/>
              <w:jc w:val="right"/>
            </w:pPr>
            <w:r>
              <w:rPr>
                <w:b/>
                <w:sz w:val="16"/>
              </w:rPr>
              <w:t>-29159,19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установ (бібліотек)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по мережі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виконання заходів, завдань, проектів (робіт) у сфері інформатизації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сесії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12000,00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12000,00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4603,56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4603,56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-7396,44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-7396,44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середнє число окладів (ставок) - 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середнє число окладів (ставок) керівних працівників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середнє число окладів (ставок) обслуговуючого та технічного персоналу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середнє число окладів (ставок) спеціалістів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заходів, завдань, проектів (робіт)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48,00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48,00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-2,00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6AA8" w:rsidRDefault="00866AA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44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сфері інформатизації</w:t>
            </w: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44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книговидач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форма №6-нк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30000,00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30000,00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16900,00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16900,00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-13100,00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-13100,00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число читачів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форма №6-нк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1,80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-0,20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-0,20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бібліотечний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 примірників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форма №6-нк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14,76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14,76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16,11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16,11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1,35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1,35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поповнення бібліотечного фонду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 примірників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форма №6-нк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0,40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0,80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0,80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захід, завдання, проект (роботи) у сфері інформатизації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240,00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240,00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96,00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96,00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-144,00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-144,00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затрати на обслуговування одного читача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202,85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202,85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209,98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209,98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7,13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7,13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книговидач на одного працівника (ставку)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5633,00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5633,00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-4367,00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-4367,00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866AA8">
            <w:pPr>
              <w:jc w:val="center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виконання заходів, завдань, проектів (робіт) у сфері інформатизації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збільшення кількості книговидач у плановому періоді відповідно до фактичного показника попереднього періоду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AA8" w:rsidRDefault="00BF1AB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ind w:right="60"/>
              <w:jc w:val="right"/>
            </w:pPr>
            <w:r>
              <w:rPr>
                <w:sz w:val="16"/>
              </w:rPr>
              <w:t>-60,00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AA8" w:rsidRDefault="00BF1AB8">
            <w:r>
              <w:t>За бюджетною програмою «Забезпечення діяльності бібліотек» у 2020 році забезпечено доступ для громадян документів та інформації, створено умови для повного задоволення духовних потреб громадян, забезпечувалось всебічне сприяння професійному та освітньому р</w:t>
            </w:r>
            <w:r>
              <w:t>озвитку громадян, комплектувались та зберігались бібліотечних фонди, вівся їх облік. Здійснено 16900 книговидач, обслуговувалось 1600 читачів.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AA8" w:rsidRDefault="00BF1AB8">
            <w:r>
              <w:t>Виконання показників бюджетної програми «Забезпечення діяльності бібліотек» у 2020 році забезпечило виконання основного завдання та мети програми, а саме – забезпечено реалізацію прав громадян на бібліотечне обслуговування, загальну доступність до інформац</w:t>
            </w:r>
            <w:r>
              <w:t xml:space="preserve">ії та культурних цінностей, що збираються, зберігаються, надаються в тимчасове користування бібліотеками та забезпечено доступність громадян до документів та інформації, створено умови для повного задоволення духовних потреб громадян, забезпечено всебічне </w:t>
            </w:r>
            <w:r>
              <w:t xml:space="preserve">сприяння професійному та освітньому розвитку громадян, проведено комплектування та зберігання бібліотечних фондів, їх облік. 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r>
              <w:t>Ігор ЧЕКАЛЕНКО</w:t>
            </w: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44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r>
              <w:t>Любов ШУЛЬГІНА</w:t>
            </w: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  <w:tr w:rsidR="00866A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7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44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A8" w:rsidRDefault="00BF1AB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866AA8" w:rsidRDefault="00866AA8">
            <w:pPr>
              <w:pStyle w:val="EMPTYCELLSTYLE"/>
            </w:pPr>
          </w:p>
        </w:tc>
        <w:tc>
          <w:tcPr>
            <w:tcW w:w="400" w:type="dxa"/>
          </w:tcPr>
          <w:p w:rsidR="00866AA8" w:rsidRDefault="00866AA8">
            <w:pPr>
              <w:pStyle w:val="EMPTYCELLSTYLE"/>
            </w:pPr>
          </w:p>
        </w:tc>
      </w:tr>
    </w:tbl>
    <w:p w:rsidR="00BF1AB8" w:rsidRDefault="00BF1AB8"/>
    <w:sectPr w:rsidR="00BF1AB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A8"/>
    <w:rsid w:val="000252C3"/>
    <w:rsid w:val="00866AA8"/>
    <w:rsid w:val="00B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49356-D668-42D7-82ED-EB491604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2021-03-25T12:38:00Z</dcterms:created>
  <dcterms:modified xsi:type="dcterms:W3CDTF">2021-03-25T12:38:00Z</dcterms:modified>
</cp:coreProperties>
</file>