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B74CC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256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B74CC1" w:rsidRDefault="00B74CC1">
            <w:pPr>
              <w:pStyle w:val="EMPTYCELLSTYLE"/>
            </w:pPr>
          </w:p>
        </w:tc>
        <w:tc>
          <w:tcPr>
            <w:tcW w:w="32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8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02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8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256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B74CC1" w:rsidRDefault="00B74CC1">
            <w:pPr>
              <w:pStyle w:val="EMPTYCELLSTYLE"/>
            </w:pPr>
          </w:p>
        </w:tc>
        <w:tc>
          <w:tcPr>
            <w:tcW w:w="32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8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02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8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CC1" w:rsidRDefault="003A399A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256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B74CC1" w:rsidRDefault="00B74CC1">
            <w:pPr>
              <w:pStyle w:val="EMPTYCELLSTYLE"/>
            </w:pPr>
          </w:p>
        </w:tc>
        <w:tc>
          <w:tcPr>
            <w:tcW w:w="32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8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02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8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CC1" w:rsidRDefault="003A399A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CC1" w:rsidRDefault="003A399A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CC1" w:rsidRDefault="003A399A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2020 рік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4CC1" w:rsidRDefault="003A399A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4CC1" w:rsidRDefault="003A399A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4CC1" w:rsidRDefault="003A399A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4CC1" w:rsidRDefault="003A399A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74CC1" w:rsidRDefault="003A399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74CC1" w:rsidRDefault="003A399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B74CC1" w:rsidRDefault="003A399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4CC1" w:rsidRDefault="003A399A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4CC1" w:rsidRDefault="003A399A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4CC1" w:rsidRDefault="003A399A">
            <w:r>
              <w:t xml:space="preserve">  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4CC1" w:rsidRDefault="003A399A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74CC1" w:rsidRDefault="003A399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74CC1" w:rsidRDefault="003A399A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B74CC1" w:rsidRDefault="003A399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4CC1" w:rsidRDefault="003A399A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4CC1" w:rsidRDefault="003A399A">
            <w:pPr>
              <w:jc w:val="center"/>
            </w:pPr>
            <w:r>
              <w:rPr>
                <w:b/>
              </w:rPr>
              <w:t>0216060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4CC1" w:rsidRDefault="003A399A">
            <w:pPr>
              <w:jc w:val="center"/>
            </w:pPr>
            <w:r>
              <w:t>6060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4CC1" w:rsidRDefault="003A399A">
            <w:pPr>
              <w:jc w:val="center"/>
            </w:pPr>
            <w:r>
              <w:t xml:space="preserve">  0640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left="60"/>
              <w:jc w:val="both"/>
            </w:pPr>
            <w:r>
              <w:t>Утримання об'єктів соціальної сфери підприємств, що передаються до комунальної власності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4CC1" w:rsidRDefault="003A399A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CC1" w:rsidRDefault="003A399A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CC1" w:rsidRDefault="003A399A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CC1" w:rsidRDefault="003A399A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r>
              <w:t>Забезпечення належної та безперебійної роботи об'єктів соціальної сфери підприємств, що передаються до комунальної власності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256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B74CC1" w:rsidRDefault="00B74CC1">
            <w:pPr>
              <w:pStyle w:val="EMPTYCELLSTYLE"/>
            </w:pPr>
          </w:p>
        </w:tc>
        <w:tc>
          <w:tcPr>
            <w:tcW w:w="32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8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02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8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left="60"/>
            </w:pPr>
            <w:r>
              <w:t>Утримання об'єктів соціальної сфери підприємств, що передаються до комунальної власності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left="60"/>
            </w:pPr>
            <w:r>
              <w:t>Проведення поточного ремонту об'єктів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256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B74CC1" w:rsidRDefault="00B74CC1">
            <w:pPr>
              <w:pStyle w:val="EMPTYCELLSTYLE"/>
            </w:pPr>
          </w:p>
        </w:tc>
        <w:tc>
          <w:tcPr>
            <w:tcW w:w="32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8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02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8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CC1" w:rsidRDefault="003A399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Утримання об'єктів соціальної сфери підприємств, що передаються до комунальної власності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253008,00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253008,00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113084,50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113084,50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-139923,50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b/>
                <w:sz w:val="16"/>
              </w:rPr>
              <w:t>-139923,50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Касові видатки за бюджетною програмою «Утримання об'єктів соціальної сфери підприємств, що передаються до комунальної власності» та по відповідному напрямку за 2020 рік по загальному фонду бюджету 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74CC1" w:rsidRDefault="00B74CC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44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становлять 113084,50 грн., що на 139923,50 грн. менше затверджених показників у паспорті бюджетної програми, виконання становить 44,70%. Відхилення касових показників від затверджених паспортом бюджетної програми пояснюється економією, яка склалась при зді</w:t>
            </w:r>
            <w:r>
              <w:rPr>
                <w:rFonts w:ascii="Arial" w:eastAsia="Arial" w:hAnsi="Arial" w:cs="Arial"/>
                <w:sz w:val="16"/>
              </w:rPr>
              <w:t>йсненні видатків та відшкодуванням частини використаних енергоносіїв, а саме відхилення від затверджених показників склалось за видатками по: КЕКВ 2240 «Оплата послуг (крім комунальних)» в сумі 18404,29 грн., КЕКВ 2273 «Оплата електроенергії» в сумі 54326,</w:t>
            </w:r>
            <w:r>
              <w:rPr>
                <w:rFonts w:ascii="Arial" w:eastAsia="Arial" w:hAnsi="Arial" w:cs="Arial"/>
                <w:sz w:val="16"/>
              </w:rPr>
              <w:t>04 грн., КЕКВ 2274 «Оплата природного газу» в сумі 65203,79 грн., КЕКВ 2800 «Інші поточні видатки» в сумі 1989,13 грн. Касові видатки за бюджетною програмою «Утримання об'єктів соціальної сфери підприємств, що передаються до комунальної власності» та по ві</w:t>
            </w:r>
            <w:r>
              <w:rPr>
                <w:rFonts w:ascii="Arial" w:eastAsia="Arial" w:hAnsi="Arial" w:cs="Arial"/>
                <w:sz w:val="16"/>
              </w:rPr>
              <w:t>дповідному напрямку за 2020 рік по спеціальному фонду бюджету становлять 31419,24 грн., що на 37659,24 грн. менше затверджених показників у паспорті бюджетної програми, виконання становить 83,43%. Відхилення склалось внаслідок економії при здійсненні видат</w:t>
            </w:r>
            <w:r>
              <w:rPr>
                <w:rFonts w:ascii="Arial" w:eastAsia="Arial" w:hAnsi="Arial" w:cs="Arial"/>
                <w:sz w:val="16"/>
              </w:rPr>
              <w:t xml:space="preserve">ків по КЕКВ 3110 «Придбання обладнання і предметів довгострокового коритсування» в сумі 25500 грн., КЕКВ 2210 «Предмети, матеріали, обладнання та інвентар» в сумі 5919,24 грн за рахунок інших коштів спеціального фонду. 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Проведення поточного ремонту об'єктів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6240,00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6240,00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-6240,00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b/>
                <w:sz w:val="16"/>
              </w:rPr>
              <w:t>-6240,00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Касові видатки за бюджетною програмою «Утримання об'єктів соціальної сфери підприємств, що передаються до комунальної власності» по напрямку «Проведення поточного ремонту об’єктів» у 2020 році не здійснювались. Такі видатки планувались за рахунок власних н</w:t>
            </w:r>
            <w:r>
              <w:rPr>
                <w:rFonts w:ascii="Arial" w:eastAsia="Arial" w:hAnsi="Arial" w:cs="Arial"/>
                <w:sz w:val="16"/>
              </w:rPr>
              <w:t>адходжень бюджетних установ, а саме плати за оренду майна.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44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B74CC1">
            <w:pPr>
              <w:ind w:left="60"/>
            </w:pP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b/>
                <w:sz w:val="16"/>
              </w:rPr>
              <w:t>253008,00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b/>
                <w:sz w:val="16"/>
              </w:rPr>
              <w:t>37659,24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b/>
                <w:sz w:val="16"/>
              </w:rPr>
              <w:t>290667,24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b/>
                <w:sz w:val="16"/>
              </w:rPr>
              <w:t>113084,50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b/>
                <w:sz w:val="16"/>
              </w:rPr>
              <w:t>31419,24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b/>
                <w:sz w:val="16"/>
              </w:rPr>
              <w:t>144503,74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b/>
                <w:sz w:val="16"/>
              </w:rPr>
              <w:t>-139923,50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b/>
                <w:sz w:val="16"/>
              </w:rPr>
              <w:t>-6240,00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b/>
                <w:sz w:val="16"/>
              </w:rPr>
              <w:t>-146163,50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44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CC1" w:rsidRDefault="003A399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"Підтримки діяльності закладів охорони здоров'я" на 2020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253008,00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6240,00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259248,00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113084,50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113084,50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-139923,50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-6240,00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b/>
                <w:sz w:val="18"/>
              </w:rPr>
              <w:t>-146163,50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B74CC1">
            <w:pPr>
              <w:ind w:left="60"/>
            </w:pP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b/>
                <w:sz w:val="16"/>
              </w:rPr>
              <w:t>253008,00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b/>
                <w:sz w:val="16"/>
              </w:rPr>
              <w:t>6240,00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b/>
                <w:sz w:val="16"/>
              </w:rPr>
              <w:t>259248,00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b/>
                <w:sz w:val="16"/>
              </w:rPr>
              <w:t>113084,50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b/>
                <w:sz w:val="16"/>
              </w:rPr>
              <w:t>113084,50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b/>
                <w:sz w:val="16"/>
              </w:rPr>
              <w:t>-139923,50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b/>
                <w:sz w:val="16"/>
              </w:rPr>
              <w:t>-6240,00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right="60"/>
              <w:jc w:val="right"/>
            </w:pPr>
            <w:r>
              <w:rPr>
                <w:b/>
                <w:sz w:val="16"/>
              </w:rPr>
              <w:t>-146163,50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видатків у розрізі видів об’єктів соціальної сфери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253008,00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253008,00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113084,50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113084,50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-139923,50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-139923,50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витрат на проведення поточного ремонту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6240,00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6240,00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-6240,00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-6240,00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об’єктів соціальної сфери (у розрізі їх видів), які потребують підтримки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мережа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об'єктів поточного ремонту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-2,00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-2,00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середня вартість проведення поточного ремонту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3120,00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3120,00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-3120,00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-3120,00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середня сума підтримки на 1 об’єкт соціальної сфери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84336,00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84336,00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37694,83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37694,83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-46641,17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-46641,17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44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74CC1" w:rsidRDefault="00B74CC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44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відсоток забезпечення витрат об’єктів соціальної сфери за рахунок коштів місцевого бюджету (у розрізі видів об’єктів соціальної сфери)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B74CC1">
            <w:pPr>
              <w:jc w:val="center"/>
            </w:pP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відсоток виконання поточного ремонту на один об'єкт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CC1" w:rsidRDefault="003A39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-100,00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ind w:right="60"/>
              <w:jc w:val="right"/>
            </w:pPr>
            <w:r>
              <w:rPr>
                <w:sz w:val="16"/>
              </w:rPr>
              <w:t>-100,00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162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CC1" w:rsidRDefault="003A399A">
            <w:r>
              <w:t>За бюджетною програмою «Утримання об'єктів соціальної сфери підприємств, що передаються до комунальної власності» у 2020 році забезпечено підтримку трьох об’єктів соціальної сфери, а саме: Амбулаторії загальної практики сімейної медицини с. Степанки, Амбул</w:t>
            </w:r>
            <w:r>
              <w:t>аторії загальної практики сімейної медицини с. Хацьки, Фельдшерсько-акушерського пункту с. Бузуків.</w:t>
            </w:r>
            <w:r>
              <w:br/>
              <w:t>Відхилення показників, затверджених у паспорті бюджетної програми від фактичних результативних показників, досягнених за рахунок касових видатків, пояснюєть</w:t>
            </w:r>
            <w:r>
              <w:t>ся економією, яка склалась при здійсненні видатків.</w:t>
            </w:r>
            <w:r>
              <w:br/>
              <w:t>Протягом 2020 року фінансові зобов’язання за бюджетною програмою виконані, кредиторська заборгованість за підсумками 2020 року (станом на 01.01.2021 року) відсутня.</w:t>
            </w:r>
            <w:r>
              <w:br/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CC1" w:rsidRDefault="003A399A">
            <w:r>
              <w:rPr>
                <w:sz w:val="24"/>
              </w:rPr>
              <w:t>10. Узагальнений висновок про викон</w:t>
            </w:r>
            <w:r>
              <w:rPr>
                <w:sz w:val="24"/>
              </w:rPr>
              <w:t>ання бюджетної програми.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CC1" w:rsidRDefault="003A399A">
            <w:r>
              <w:t>Виконання показників бюджетної програми «Утримання об'єктів соціальної сфери підприємств, що передаються до комунальної власності» у 2020 році забезпечило виконання основного завдання та мети програми, а саме - забезпечення належної та безперебійної роботи</w:t>
            </w:r>
            <w:r>
              <w:t xml:space="preserve"> об'єктів соціальної сфери підприємств, що передаються до комунальної власності та утримання об'єктів соціальної сфери підприємств, що передаються до комунальної власності.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CC1" w:rsidRDefault="003A399A">
            <w:r>
              <w:rPr>
                <w:sz w:val="16"/>
              </w:rPr>
              <w:t>* Зазначаються всі напрями використання бюджетних коштів, затверджені у паспорті</w:t>
            </w:r>
            <w:r>
              <w:rPr>
                <w:sz w:val="16"/>
              </w:rPr>
              <w:t xml:space="preserve"> бюджетної програми.</w:t>
            </w: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CC1" w:rsidRDefault="003A399A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CC1" w:rsidRDefault="003A399A">
            <w:r>
              <w:t>Ігор ЧЕКАЛЕНКО</w:t>
            </w: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44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CC1" w:rsidRDefault="003A399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CC1" w:rsidRDefault="003A399A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CC1" w:rsidRDefault="003A399A">
            <w:r>
              <w:rPr>
                <w:b/>
              </w:rPr>
              <w:t>Головний бухгалтер</w:t>
            </w: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CC1" w:rsidRDefault="003A399A">
            <w:r>
              <w:t>Любов ШУЛЬГІНА</w:t>
            </w: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  <w:tr w:rsidR="00B74CC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7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44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CC1" w:rsidRDefault="003A399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CC1" w:rsidRDefault="003A399A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B74CC1" w:rsidRDefault="00B74CC1">
            <w:pPr>
              <w:pStyle w:val="EMPTYCELLSTYLE"/>
            </w:pPr>
          </w:p>
        </w:tc>
        <w:tc>
          <w:tcPr>
            <w:tcW w:w="400" w:type="dxa"/>
          </w:tcPr>
          <w:p w:rsidR="00B74CC1" w:rsidRDefault="00B74CC1">
            <w:pPr>
              <w:pStyle w:val="EMPTYCELLSTYLE"/>
            </w:pPr>
          </w:p>
        </w:tc>
      </w:tr>
    </w:tbl>
    <w:p w:rsidR="003A399A" w:rsidRDefault="003A399A"/>
    <w:sectPr w:rsidR="003A399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C1"/>
    <w:rsid w:val="003A399A"/>
    <w:rsid w:val="005D1A56"/>
    <w:rsid w:val="00B7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27149-ECFC-43BB-B34E-016835C6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2021-03-25T12:35:00Z</dcterms:created>
  <dcterms:modified xsi:type="dcterms:W3CDTF">2021-03-25T12:35:00Z</dcterms:modified>
</cp:coreProperties>
</file>