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0" w:rsidRDefault="007649F0" w:rsidP="007649F0">
      <w:pPr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Додаток 1 </w:t>
      </w:r>
    </w:p>
    <w:p w:rsidR="007649F0" w:rsidRDefault="007649F0" w:rsidP="007649F0">
      <w:pPr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до рішення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сільської ради</w:t>
      </w:r>
    </w:p>
    <w:p w:rsidR="007649F0" w:rsidRDefault="00FB01CB" w:rsidP="007649F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від 19.02.2021 №06-03</w:t>
      </w:r>
      <w:r w:rsidR="007649F0">
        <w:rPr>
          <w:rFonts w:ascii="Times New Roman" w:eastAsia="Times New Roman" w:hAnsi="Times New Roman"/>
          <w:sz w:val="16"/>
          <w:szCs w:val="16"/>
          <w:lang w:eastAsia="ru-RU"/>
        </w:rPr>
        <w:t>/</w:t>
      </w:r>
      <w:r w:rsidR="007649F0">
        <w:rPr>
          <w:rFonts w:ascii="Times New Roman" w:eastAsia="Times New Roman" w:hAnsi="Times New Roman"/>
          <w:sz w:val="16"/>
          <w:szCs w:val="16"/>
          <w:lang w:val="en-US" w:eastAsia="ru-RU"/>
        </w:rPr>
        <w:t>V</w:t>
      </w:r>
      <w:r w:rsidR="007649F0">
        <w:rPr>
          <w:rFonts w:ascii="Times New Roman" w:eastAsia="Times New Roman" w:hAnsi="Times New Roman"/>
          <w:sz w:val="16"/>
          <w:szCs w:val="16"/>
          <w:lang w:eastAsia="ru-RU"/>
        </w:rPr>
        <w:t>ІІІ</w:t>
      </w: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ЗАТВЕРДЖУЮ:</w:t>
      </w: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Сільський голова </w:t>
      </w: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128"/>
      </w:tblGrid>
      <w:tr w:rsidR="007649F0" w:rsidTr="007649F0">
        <w:tc>
          <w:tcPr>
            <w:tcW w:w="3336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6128" w:type="dxa"/>
            <w:hideMark/>
          </w:tcPr>
          <w:p w:rsidR="007649F0" w:rsidRDefault="007649F0">
            <w:pPr>
              <w:spacing w:after="0" w:line="240" w:lineRule="auto"/>
              <w:ind w:firstLine="2199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Ігор ЧЕКАЛЕНКО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(підпис)                    (ПІБ)</w:t>
            </w:r>
          </w:p>
        </w:tc>
      </w:tr>
    </w:tbl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9F0" w:rsidRDefault="007649F0" w:rsidP="007649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ПЕРЕДАВАЛЬНИЙ АКТ</w:t>
      </w: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с.Голов’ятине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«01» січня 2021 року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9F0" w:rsidRDefault="007649F0" w:rsidP="007649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Ми, що нижче підписалися, голова та члени Комісії з реорганізації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ради, створеної рішенням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від 08.12.2020 р. №01-04/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ІІІ, у складі: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комісії: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 Миколайович, сільський голова;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голови комісії: Шульгіна Любов Миколаївна, </w:t>
      </w:r>
      <w:r>
        <w:rPr>
          <w:rFonts w:ascii="Times New Roman" w:eastAsia="Times New Roman" w:hAnsi="Times New Roman"/>
          <w:sz w:val="28"/>
          <w:szCs w:val="28"/>
        </w:rPr>
        <w:t xml:space="preserve">начальник відділу бухгалтерського обліку та звітності, головний бухгалтер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сільської ради;</w:t>
      </w:r>
    </w:p>
    <w:p w:rsidR="007649F0" w:rsidRPr="009837E5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</w:t>
      </w:r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комісії:</w:t>
      </w:r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Невгод</w:t>
      </w:r>
      <w:proofErr w:type="spellEnd"/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Інна</w:t>
      </w:r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Миколаївна,</w:t>
      </w:r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секретар</w:t>
      </w:r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Степанківської</w:t>
      </w:r>
      <w:proofErr w:type="spellEnd"/>
      <w:r w:rsidRPr="009837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сільської ради;</w:t>
      </w:r>
      <w:r w:rsidRPr="009837E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комісії: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Нечаєнко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Світлана Іванівна, начальник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ЦНАПу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сільської ради;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комісії: </w:t>
      </w:r>
      <w:r>
        <w:rPr>
          <w:rFonts w:ascii="Times New Roman" w:eastAsia="Times New Roman" w:hAnsi="Times New Roman"/>
          <w:sz w:val="28"/>
          <w:szCs w:val="28"/>
        </w:rPr>
        <w:t>Корнієнко Лариса Михайлівна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ятинського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округу;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комісії: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Глущенко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Світлана Леонідівна, головний бухгалтер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Голов’ятинської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сільської ради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7649F0" w:rsidRDefault="007649F0" w:rsidP="007649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(ЄДРПОУ </w:t>
      </w:r>
      <w:r>
        <w:rPr>
          <w:rFonts w:ascii="Times New Roman" w:eastAsia="Times New Roman" w:hAnsi="Times New Roman"/>
          <w:sz w:val="28"/>
          <w:szCs w:val="28"/>
        </w:rPr>
        <w:t>26424111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місцезнаходження: вул. Героїв України, 124, с. Степанки, Черкаського району, Черкаської області) внаслідок реорганізації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(</w:t>
      </w:r>
      <w:r>
        <w:rPr>
          <w:rFonts w:ascii="Times New Roman" w:eastAsia="Times New Roman" w:hAnsi="Times New Roman"/>
          <w:sz w:val="28"/>
          <w:szCs w:val="28"/>
        </w:rPr>
        <w:t xml:space="preserve">ЄДРПОУ </w:t>
      </w:r>
      <w:r>
        <w:rPr>
          <w:rStyle w:val="xfmc1"/>
          <w:rFonts w:ascii="Times New Roman" w:hAnsi="Times New Roman"/>
          <w:sz w:val="28"/>
          <w:szCs w:val="28"/>
        </w:rPr>
        <w:t>26358236</w:t>
      </w:r>
      <w:r>
        <w:rPr>
          <w:rFonts w:ascii="Times New Roman" w:eastAsia="Times New Roman" w:hAnsi="Times New Roman"/>
          <w:sz w:val="28"/>
          <w:szCs w:val="28"/>
        </w:rPr>
        <w:t xml:space="preserve">), місцезнаходження: </w:t>
      </w:r>
      <w:r>
        <w:rPr>
          <w:rStyle w:val="xfmc1"/>
          <w:rFonts w:ascii="Times New Roman" w:hAnsi="Times New Roman"/>
          <w:sz w:val="28"/>
          <w:szCs w:val="28"/>
        </w:rPr>
        <w:t xml:space="preserve">20740 Черкаська область, Смілянський  район </w:t>
      </w:r>
      <w:proofErr w:type="spellStart"/>
      <w:r>
        <w:rPr>
          <w:rStyle w:val="xfmc1"/>
          <w:rFonts w:ascii="Times New Roman" w:hAnsi="Times New Roman"/>
          <w:sz w:val="28"/>
          <w:szCs w:val="28"/>
        </w:rPr>
        <w:t>с.Голов’ятине</w:t>
      </w:r>
      <w:proofErr w:type="spellEnd"/>
      <w:r>
        <w:rPr>
          <w:rStyle w:val="xfmc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xfmc1"/>
          <w:rFonts w:ascii="Times New Roman" w:hAnsi="Times New Roman"/>
          <w:sz w:val="28"/>
          <w:szCs w:val="28"/>
        </w:rPr>
        <w:t>вул.Котляра</w:t>
      </w:r>
      <w:proofErr w:type="spellEnd"/>
      <w:r>
        <w:rPr>
          <w:rStyle w:val="xfmc1"/>
          <w:rFonts w:ascii="Times New Roman" w:hAnsi="Times New Roman"/>
          <w:sz w:val="28"/>
          <w:szCs w:val="28"/>
        </w:rPr>
        <w:t>,1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приєднання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є правонаступником майна, активів та зобов’язань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ради, а саме: 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Необоротних активів (балансова вартість)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1 257 066,92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у тому числі: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основні засоби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1 041 240,75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інші необоротні матеріальні активи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215 826,17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Виробничі запаси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3 090,41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Грошових коштів 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10 429,26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Дебіторської заборгованості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у тому числі: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 бюджетом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 оплати праці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Кредиторської заборгованості 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у тому числі: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 бюджетом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 оплати праці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крім того, 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незавершені капітальні інвестиції – 99 078,00 грн.;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2.Разом із майном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Додатки до передавального акту: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  Інвентаризаційна справа на будинок  №111по вул. Шевченко с. Малий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(приміщення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Малобузуківського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сільського клуба)  на 8 аркушах;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 Інвентаризаційна справа на будинок №1 по вул. Незалежності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с.Голов’ятине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(приміщення дошкільного навчального закладу)  на 6 аркушах;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 Технічний паспорт на громадський будинок по вул. Незалежності, 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с.Голов’ятине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будинок культури) на 8 аркушах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Усього: 22(двадцять два) аркушів.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Комісія з реорганізації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ради:</w:t>
      </w:r>
    </w:p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4"/>
        <w:gridCol w:w="3716"/>
        <w:gridCol w:w="2941"/>
      </w:tblGrid>
      <w:tr w:rsidR="007649F0" w:rsidTr="007649F0">
        <w:tc>
          <w:tcPr>
            <w:tcW w:w="2914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 комісії: 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716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_________________________                  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941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Чекаленко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І.М. 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(ПІБ)</w:t>
            </w:r>
          </w:p>
        </w:tc>
      </w:tr>
      <w:tr w:rsidR="007649F0" w:rsidTr="007649F0">
        <w:tc>
          <w:tcPr>
            <w:tcW w:w="2914" w:type="dxa"/>
          </w:tcPr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_________________________                     </w:t>
            </w:r>
          </w:p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941" w:type="dxa"/>
            <w:hideMark/>
          </w:tcPr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Невгод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І.М.</w:t>
            </w:r>
          </w:p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(ПІБ)</w:t>
            </w:r>
          </w:p>
        </w:tc>
      </w:tr>
      <w:tr w:rsidR="007649F0" w:rsidTr="007649F0">
        <w:tc>
          <w:tcPr>
            <w:tcW w:w="2914" w:type="dxa"/>
          </w:tcPr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_________________________                      </w:t>
            </w:r>
          </w:p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941" w:type="dxa"/>
            <w:hideMark/>
          </w:tcPr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Нечаєнко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С.І.</w:t>
            </w:r>
          </w:p>
          <w:p w:rsidR="007649F0" w:rsidRDefault="007649F0" w:rsidP="00F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(ПІБ)</w:t>
            </w:r>
          </w:p>
        </w:tc>
      </w:tr>
      <w:tr w:rsidR="007649F0" w:rsidTr="007649F0">
        <w:tc>
          <w:tcPr>
            <w:tcW w:w="2914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_________________________                      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941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Корнієнко Л.М.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(ПІБ)</w:t>
            </w:r>
          </w:p>
        </w:tc>
      </w:tr>
      <w:tr w:rsidR="007649F0" w:rsidTr="007649F0">
        <w:tc>
          <w:tcPr>
            <w:tcW w:w="2914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_________________________                     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941" w:type="dxa"/>
            <w:hideMark/>
          </w:tcPr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Глущенко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С.Л.</w:t>
            </w:r>
          </w:p>
          <w:p w:rsidR="007649F0" w:rsidRDefault="00764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(ПІБ)</w:t>
            </w:r>
          </w:p>
        </w:tc>
      </w:tr>
    </w:tbl>
    <w:p w:rsidR="007649F0" w:rsidRPr="007649F0" w:rsidRDefault="007649F0" w:rsidP="007649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49F0">
        <w:rPr>
          <w:rFonts w:ascii="Times New Roman" w:eastAsia="Times New Roman" w:hAnsi="Times New Roman"/>
          <w:b/>
          <w:sz w:val="24"/>
          <w:szCs w:val="24"/>
        </w:rPr>
        <w:t xml:space="preserve">Від імені </w:t>
      </w:r>
      <w:proofErr w:type="spellStart"/>
      <w:r w:rsidRPr="007649F0">
        <w:rPr>
          <w:rFonts w:ascii="Times New Roman" w:eastAsia="Times New Roman" w:hAnsi="Times New Roman"/>
          <w:b/>
          <w:sz w:val="24"/>
          <w:szCs w:val="24"/>
        </w:rPr>
        <w:t>Степанківської</w:t>
      </w:r>
      <w:proofErr w:type="spellEnd"/>
      <w:r w:rsidRPr="007649F0">
        <w:rPr>
          <w:rFonts w:ascii="Times New Roman" w:eastAsia="Times New Roman" w:hAnsi="Times New Roman"/>
          <w:b/>
          <w:sz w:val="24"/>
          <w:szCs w:val="24"/>
        </w:rPr>
        <w:t xml:space="preserve"> сільської ради прийняла </w:t>
      </w:r>
    </w:p>
    <w:p w:rsidR="007649F0" w:rsidRPr="007649F0" w:rsidRDefault="007649F0" w:rsidP="007649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49F0" w:rsidRDefault="007649F0" w:rsidP="007649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49F0">
        <w:rPr>
          <w:rFonts w:ascii="Times New Roman" w:eastAsia="Times New Roman" w:hAnsi="Times New Roman"/>
          <w:b/>
          <w:sz w:val="24"/>
          <w:szCs w:val="24"/>
        </w:rPr>
        <w:t>Комісія з прийняття майна, активів та зобов’язань, у складі:</w:t>
      </w:r>
    </w:p>
    <w:p w:rsidR="00FB01CB" w:rsidRPr="007649F0" w:rsidRDefault="00FB01CB" w:rsidP="007649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3716"/>
        <w:gridCol w:w="3716"/>
      </w:tblGrid>
      <w:tr w:rsidR="007649F0" w:rsidRPr="007649F0" w:rsidTr="00FA7BC5">
        <w:tc>
          <w:tcPr>
            <w:tcW w:w="2139" w:type="dxa"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(ПІБ)</w:t>
            </w:r>
          </w:p>
        </w:tc>
      </w:tr>
      <w:tr w:rsidR="007649F0" w:rsidRPr="007649F0" w:rsidTr="00FA7BC5">
        <w:tc>
          <w:tcPr>
            <w:tcW w:w="2139" w:type="dxa"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(ПІБ)</w:t>
            </w:r>
          </w:p>
        </w:tc>
      </w:tr>
      <w:tr w:rsidR="007649F0" w:rsidRPr="007649F0" w:rsidTr="00FA7BC5">
        <w:tc>
          <w:tcPr>
            <w:tcW w:w="2139" w:type="dxa"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(ПІБ)</w:t>
            </w:r>
          </w:p>
        </w:tc>
      </w:tr>
      <w:tr w:rsidR="007649F0" w:rsidRPr="007649F0" w:rsidTr="00FA7BC5">
        <w:tc>
          <w:tcPr>
            <w:tcW w:w="2139" w:type="dxa"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(ПІБ)</w:t>
            </w:r>
          </w:p>
        </w:tc>
      </w:tr>
      <w:tr w:rsidR="007649F0" w:rsidRPr="007649F0" w:rsidTr="00FA7BC5">
        <w:tc>
          <w:tcPr>
            <w:tcW w:w="2139" w:type="dxa"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7649F0" w:rsidRPr="007649F0" w:rsidRDefault="007649F0" w:rsidP="00764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649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_________________________ (ПІБ)</w:t>
            </w:r>
          </w:p>
        </w:tc>
      </w:tr>
    </w:tbl>
    <w:p w:rsidR="007649F0" w:rsidRDefault="007649F0" w:rsidP="007649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9F0" w:rsidRDefault="007649F0" w:rsidP="0076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649F0" w:rsidSect="007649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FC5"/>
    <w:multiLevelType w:val="hybridMultilevel"/>
    <w:tmpl w:val="1D50F776"/>
    <w:lvl w:ilvl="0" w:tplc="2DC2D10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78"/>
    <w:rsid w:val="00483D78"/>
    <w:rsid w:val="007649F0"/>
    <w:rsid w:val="00927423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rsid w:val="0076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rsid w:val="0076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2021-02-18T16:26:00Z</dcterms:created>
  <dcterms:modified xsi:type="dcterms:W3CDTF">2021-02-20T12:45:00Z</dcterms:modified>
</cp:coreProperties>
</file>