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20" w:rsidRDefault="00007820" w:rsidP="00007820">
      <w:pPr>
        <w:pStyle w:val="a4"/>
        <w:spacing w:before="120" w:after="12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1 </w:t>
      </w:r>
    </w:p>
    <w:p w:rsidR="00007820" w:rsidRDefault="00007820" w:rsidP="00007820">
      <w:pPr>
        <w:pStyle w:val="a4"/>
        <w:spacing w:before="120" w:after="120"/>
        <w:ind w:left="0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tbl>
      <w:tblPr>
        <w:tblStyle w:val="a5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8"/>
        <w:gridCol w:w="991"/>
        <w:gridCol w:w="2132"/>
        <w:gridCol w:w="1992"/>
        <w:gridCol w:w="4236"/>
        <w:gridCol w:w="1134"/>
        <w:gridCol w:w="1137"/>
        <w:gridCol w:w="1134"/>
        <w:gridCol w:w="2268"/>
      </w:tblGrid>
      <w:tr w:rsidR="00017224" w:rsidTr="00A174AA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 w:rsidP="001D543D">
            <w:pPr>
              <w:pStyle w:val="a4"/>
              <w:spacing w:line="240" w:lineRule="auto"/>
              <w:ind w:left="0" w:right="-15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Реєстраційний номер проєкту</w:t>
            </w:r>
            <w:r>
              <w:rPr>
                <w:rFonts w:ascii="Times New Roman" w:hAnsi="Times New Roman"/>
                <w:vertAlign w:val="superscript"/>
                <w:lang w:val="uk-UA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 w:right="-104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проєкту</w:t>
            </w:r>
            <w:r>
              <w:rPr>
                <w:rFonts w:ascii="Times New Roman" w:hAnsi="Times New Roman"/>
                <w:vertAlign w:val="superscript"/>
                <w:lang w:val="uk-UA"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розпорядник коштів, який реалізує проєкт, термін реалізації проєкту</w:t>
            </w:r>
            <w:r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Короткий опис проєкту та заходів/ робіт, які було проведено для його реалізації</w:t>
            </w:r>
            <w:r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Обсяг видатків,</w:t>
            </w:r>
          </w:p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тис. грн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Отриманий результат</w:t>
            </w:r>
          </w:p>
        </w:tc>
      </w:tr>
      <w:tr w:rsidR="00017224" w:rsidTr="00A174AA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 w:right="-191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План</w:t>
            </w:r>
            <w:r>
              <w:rPr>
                <w:rFonts w:ascii="Times New Roman" w:hAnsi="Times New Roman"/>
                <w:vertAlign w:val="superscript"/>
                <w:lang w:val="uk-U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 w:right="-195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Факт</w:t>
            </w:r>
            <w:r>
              <w:rPr>
                <w:rFonts w:ascii="Times New Roman" w:hAnsi="Times New Roman"/>
                <w:vertAlign w:val="superscript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Залишок станом на кінець звітного періоду</w:t>
            </w:r>
            <w:r>
              <w:rPr>
                <w:rFonts w:ascii="Times New Roman" w:hAnsi="Times New Roman"/>
                <w:vertAlign w:val="superscript"/>
                <w:lang w:val="uk-UA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174AA" w:rsidTr="00A174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</w:tr>
      <w:tr w:rsidR="00A174AA" w:rsidRPr="001549CC" w:rsidTr="00A174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0004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1D543D">
            <w:pPr>
              <w:pStyle w:val="a4"/>
              <w:spacing w:line="312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Сортуємо сміття зараз – врятуємо довкілля наших нащадків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884551">
            <w:pPr>
              <w:pStyle w:val="a4"/>
              <w:spacing w:line="312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Виконавчий комітет Степанківської сільської ради, 2020 рік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392EF4" w:rsidRDefault="001549CC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Розмістити контейнери для скла, а також контейнери для відпрацьованих елементів живлення. Скло, відпрацьовані елементи живлення не розкладаються більше 100 років. Появляються несанкціоновані сміттєзвалища. Закликаємо жителів до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екочистого</w:t>
            </w:r>
            <w:proofErr w:type="spellEnd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красивого майбутнього села.</w:t>
            </w:r>
          </w:p>
          <w:p w:rsidR="00A174AA" w:rsidRPr="00392EF4" w:rsidRDefault="00A174AA" w:rsidP="00A174AA">
            <w:pPr>
              <w:pStyle w:val="a4"/>
              <w:spacing w:line="312" w:lineRule="auto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розташування</w:t>
            </w:r>
            <w:r w:rsidR="00A633A0"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контейнерів для скла</w:t>
            </w: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92EF4">
              <w:rPr>
                <w:sz w:val="20"/>
                <w:szCs w:val="20"/>
                <w:lang w:val="ru-RU"/>
              </w:rPr>
              <w:t xml:space="preserve"> </w:t>
            </w: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село Хацьки, вул. Шевченка-Ювілейна; вул. Тищенка - Героїв України; в районі магазина «Зевс»; район амбулаторії; адміністративна будівля сільської ради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с.Хацьки</w:t>
            </w:r>
            <w:proofErr w:type="spellEnd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школа І-ІІІ ст.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с.Хацьки</w:t>
            </w:r>
            <w:proofErr w:type="spellEnd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магазин «Лисенка В.Д.»; магазин біля з/д вокзалу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с.Хацьки</w:t>
            </w:r>
            <w:proofErr w:type="spellEnd"/>
            <w:r w:rsidR="00017224"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633A0" w:rsidRPr="00392EF4" w:rsidRDefault="00A633A0" w:rsidP="00A633A0">
            <w:pPr>
              <w:pStyle w:val="a4"/>
              <w:spacing w:line="312" w:lineRule="auto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розташування контейнерів для відпрацьованих елементів живлення:</w:t>
            </w:r>
          </w:p>
          <w:p w:rsidR="00A633A0" w:rsidRPr="00392EF4" w:rsidRDefault="00A633A0" w:rsidP="00A633A0">
            <w:pPr>
              <w:pStyle w:val="a4"/>
              <w:spacing w:line="312" w:lineRule="auto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адміністративна будівля сільської ради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с.Хацьки</w:t>
            </w:r>
            <w:proofErr w:type="spellEnd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магазин «Зевс» по  вул. Героїв України в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с.Хацьки</w:t>
            </w:r>
            <w:proofErr w:type="spellEnd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магазин «Промтоварів» по  вул. Героїв України в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с.Хацьки</w:t>
            </w:r>
            <w:proofErr w:type="spellEnd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магазин «Лисенка В.Д. в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с.Хацьки</w:t>
            </w:r>
            <w:proofErr w:type="spellEnd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магазин біля з/д вокзалу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с.Хацьки</w:t>
            </w:r>
            <w:proofErr w:type="spellEnd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1D543D">
            <w:pPr>
              <w:pStyle w:val="a4"/>
              <w:spacing w:line="312" w:lineRule="auto"/>
              <w:ind w:left="0" w:right="-103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45000,00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566066" w:rsidP="001D543D">
            <w:pPr>
              <w:pStyle w:val="a4"/>
              <w:spacing w:line="312" w:lineRule="auto"/>
              <w:ind w:left="0" w:right="-11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F725A8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Default="008F4BCD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Контейнери виготовлено та встановлено у відведених місцях</w:t>
            </w:r>
          </w:p>
        </w:tc>
      </w:tr>
      <w:tr w:rsidR="001D543D" w:rsidRPr="001549CC" w:rsidTr="00A174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Default="001549CC" w:rsidP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884551">
            <w:pPr>
              <w:jc w:val="both"/>
              <w:rPr>
                <w:rFonts w:ascii="Times New Roman" w:hAnsi="Times New Roman"/>
              </w:rPr>
            </w:pPr>
            <w:r w:rsidRPr="00884551">
              <w:rPr>
                <w:rFonts w:ascii="Times New Roman" w:hAnsi="Times New Roman"/>
              </w:rPr>
              <w:t>0012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1D543D" w:rsidRDefault="001549CC" w:rsidP="0088455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D543D">
              <w:rPr>
                <w:rFonts w:ascii="Times New Roman" w:hAnsi="Times New Roman"/>
                <w:lang w:val="ru-RU"/>
              </w:rPr>
              <w:t>Облаштування</w:t>
            </w:r>
            <w:proofErr w:type="spellEnd"/>
            <w:r w:rsidRPr="001D543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D543D">
              <w:rPr>
                <w:rFonts w:ascii="Times New Roman" w:hAnsi="Times New Roman"/>
                <w:lang w:val="ru-RU"/>
              </w:rPr>
              <w:t>зупинки</w:t>
            </w:r>
            <w:proofErr w:type="spellEnd"/>
            <w:r w:rsidRPr="001D543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D543D">
              <w:rPr>
                <w:rFonts w:ascii="Times New Roman" w:hAnsi="Times New Roman"/>
                <w:lang w:val="ru-RU"/>
              </w:rPr>
              <w:t>громадського</w:t>
            </w:r>
            <w:proofErr w:type="spellEnd"/>
            <w:r w:rsidRPr="001D543D">
              <w:rPr>
                <w:rFonts w:ascii="Times New Roman" w:hAnsi="Times New Roman"/>
                <w:lang w:val="ru-RU"/>
              </w:rPr>
              <w:t xml:space="preserve"> </w:t>
            </w:r>
            <w:r w:rsidRPr="001D543D">
              <w:rPr>
                <w:rFonts w:ascii="Times New Roman" w:hAnsi="Times New Roman"/>
                <w:lang w:val="ru-RU"/>
              </w:rPr>
              <w:lastRenderedPageBreak/>
              <w:t xml:space="preserve">транспорту в </w:t>
            </w:r>
            <w:proofErr w:type="spellStart"/>
            <w:r w:rsidRPr="001D543D">
              <w:rPr>
                <w:rFonts w:ascii="Times New Roman" w:hAnsi="Times New Roman"/>
                <w:lang w:val="ru-RU"/>
              </w:rPr>
              <w:t>центрі</w:t>
            </w:r>
            <w:proofErr w:type="spellEnd"/>
            <w:r w:rsidRPr="001D543D">
              <w:rPr>
                <w:rFonts w:ascii="Times New Roman" w:hAnsi="Times New Roman"/>
                <w:lang w:val="ru-RU"/>
              </w:rPr>
              <w:t xml:space="preserve"> села Степанки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884551">
            <w:pPr>
              <w:pStyle w:val="a4"/>
              <w:spacing w:line="312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Виконавчий комітет Степанківської </w:t>
            </w:r>
            <w:r w:rsidRPr="00884551">
              <w:rPr>
                <w:rFonts w:ascii="Times New Roman" w:hAnsi="Times New Roman" w:cs="Times New Roman"/>
                <w:lang w:val="uk-UA"/>
              </w:rPr>
              <w:lastRenderedPageBreak/>
              <w:t>сільської ради, 2020 рік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392EF4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 рамках проєкту плануємо встановити зупинку по вулиці Героїв України, с.Степанки, біля Будинку культури. Проект важливий для громади, оскільки людей маршрутом </w:t>
            </w: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користується чимало, переважна кількість – діти.</w:t>
            </w:r>
          </w:p>
          <w:p w:rsidR="001549CC" w:rsidRPr="00392EF4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Автобусна зупинка – місце, де постійно зупиняється транспорт, це багатофункціональна споруда, на підвищення комфорту пасажирів, їх захист від погодних умов та ДТП. Для реалізації цього проєкту планується залучити батьків школярів, які готові взяти участь</w:t>
            </w:r>
            <w:r w:rsidR="00A174AA"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монтажі автобусної зупинки.</w:t>
            </w:r>
          </w:p>
          <w:p w:rsidR="00A174AA" w:rsidRPr="00392EF4" w:rsidRDefault="00A174AA" w:rsidP="00A174AA">
            <w:pPr>
              <w:pStyle w:val="a4"/>
              <w:spacing w:line="312" w:lineRule="auto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розташування:</w:t>
            </w:r>
            <w:r w:rsidRPr="00392EF4">
              <w:rPr>
                <w:sz w:val="20"/>
                <w:szCs w:val="20"/>
                <w:lang w:val="ru-RU"/>
              </w:rPr>
              <w:t xml:space="preserve"> </w:t>
            </w: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село Степанки, вул. Героїв України, 77-79, біля Будинку культури.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lastRenderedPageBreak/>
              <w:t>28000,00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Default="008F4BCD" w:rsidP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Зупинку громадського транспорту </w:t>
            </w:r>
            <w:r>
              <w:rPr>
                <w:rFonts w:ascii="Times New Roman" w:hAnsi="Times New Roman"/>
                <w:lang w:val="uk-UA"/>
              </w:rPr>
              <w:lastRenderedPageBreak/>
              <w:t>виготовлено та встановлено</w:t>
            </w:r>
          </w:p>
        </w:tc>
      </w:tr>
      <w:tr w:rsidR="001D543D" w:rsidRPr="001549CC" w:rsidTr="00A174AA">
        <w:trPr>
          <w:trHeight w:val="269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Default="00884551" w:rsidP="00884551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884551" w:rsidP="00884551">
            <w:pPr>
              <w:jc w:val="both"/>
              <w:rPr>
                <w:rFonts w:ascii="Times New Roman" w:hAnsi="Times New Roman"/>
              </w:rPr>
            </w:pPr>
            <w:r w:rsidRPr="00884551">
              <w:rPr>
                <w:rFonts w:ascii="Times New Roman" w:hAnsi="Times New Roman"/>
              </w:rPr>
              <w:t>0001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884551" w:rsidP="008845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84551">
              <w:rPr>
                <w:rFonts w:ascii="Times New Roman" w:hAnsi="Times New Roman"/>
              </w:rPr>
              <w:t>Куточок</w:t>
            </w:r>
            <w:proofErr w:type="spellEnd"/>
            <w:r w:rsidRPr="00884551">
              <w:rPr>
                <w:rFonts w:ascii="Times New Roman" w:hAnsi="Times New Roman"/>
              </w:rPr>
              <w:t xml:space="preserve"> старожитностей </w:t>
            </w:r>
            <w:proofErr w:type="spellStart"/>
            <w:r w:rsidRPr="00884551">
              <w:rPr>
                <w:rFonts w:ascii="Times New Roman" w:hAnsi="Times New Roman"/>
              </w:rPr>
              <w:t>місцевої</w:t>
            </w:r>
            <w:proofErr w:type="spellEnd"/>
            <w:r w:rsidRPr="00884551">
              <w:rPr>
                <w:rFonts w:ascii="Times New Roman" w:hAnsi="Times New Roman"/>
              </w:rPr>
              <w:t xml:space="preserve"> громади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884551" w:rsidP="00884551">
            <w:pPr>
              <w:pStyle w:val="a4"/>
              <w:spacing w:line="312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Виконавчий комітет Степанківської сільської ради, 2020 рік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392EF4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Мешканці громади, молодь недостатньо поінформовані про історичну спадщину сіл громади, а також наявні історичні знахідки на території сіл та адміністративних меж громади, що свідчать про безперервність і</w:t>
            </w:r>
            <w:r w:rsidR="00A174AA"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сторії краю.</w:t>
            </w:r>
          </w:p>
          <w:p w:rsidR="00A174AA" w:rsidRPr="00392EF4" w:rsidRDefault="00A174AA" w:rsidP="00A174AA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розташування: село Хацьки,</w:t>
            </w:r>
          </w:p>
          <w:p w:rsidR="00A174AA" w:rsidRPr="00392EF4" w:rsidRDefault="00A174AA" w:rsidP="00A174AA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Т.Шевченка</w:t>
            </w:r>
            <w:proofErr w:type="spellEnd"/>
            <w:r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69а, Будинок культури</w:t>
            </w:r>
            <w:r w:rsidR="00017224" w:rsidRPr="00392E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22000,00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F725A8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F725A8" w:rsidP="00F725A8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Default="008F4BCD" w:rsidP="00884551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Виготовлено мобільні стенди для розміщення колекції історичних знахідок</w:t>
            </w:r>
          </w:p>
        </w:tc>
      </w:tr>
      <w:tr w:rsidR="00884551" w:rsidTr="00A174AA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CC" w:rsidRPr="00884551" w:rsidRDefault="001549CC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95000,00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F725A8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F725A8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</w:t>
            </w:r>
          </w:p>
        </w:tc>
      </w:tr>
    </w:tbl>
    <w:p w:rsidR="001549CC" w:rsidRDefault="001549CC" w:rsidP="001549CC">
      <w:pPr>
        <w:pStyle w:val="a4"/>
        <w:spacing w:after="0" w:line="312" w:lineRule="auto"/>
        <w:ind w:left="0" w:firstLine="709"/>
        <w:jc w:val="center"/>
        <w:rPr>
          <w:rFonts w:ascii="Times New Roman" w:hAnsi="Times New Roman"/>
          <w:lang w:val="uk-UA"/>
        </w:rPr>
      </w:pPr>
    </w:p>
    <w:p w:rsidR="001549CC" w:rsidRDefault="00A174AA" w:rsidP="001549CC">
      <w:pPr>
        <w:pStyle w:val="a4"/>
        <w:spacing w:after="0" w:line="312" w:lineRule="auto"/>
        <w:ind w:left="0"/>
        <w:jc w:val="both"/>
        <w:rPr>
          <w:rFonts w:ascii="Times New Roman" w:hAnsi="Times New Roman"/>
          <w:b/>
          <w:lang w:val="uk-UA"/>
        </w:rPr>
      </w:pPr>
      <w:r w:rsidRPr="00017224">
        <w:rPr>
          <w:rFonts w:ascii="Times New Roman" w:hAnsi="Times New Roman"/>
          <w:u w:val="single"/>
          <w:lang w:val="uk-UA"/>
        </w:rPr>
        <w:t xml:space="preserve">«01» </w:t>
      </w:r>
      <w:r w:rsidR="005B4DFE">
        <w:rPr>
          <w:rFonts w:ascii="Times New Roman" w:hAnsi="Times New Roman"/>
          <w:u w:val="single"/>
          <w:lang w:val="uk-UA"/>
        </w:rPr>
        <w:t>січня</w:t>
      </w:r>
      <w:r w:rsidRPr="00017224">
        <w:rPr>
          <w:rFonts w:ascii="Times New Roman" w:hAnsi="Times New Roman"/>
          <w:u w:val="single"/>
          <w:lang w:val="uk-UA"/>
        </w:rPr>
        <w:t xml:space="preserve"> 202</w:t>
      </w:r>
      <w:r w:rsidR="005B4DFE">
        <w:rPr>
          <w:rFonts w:ascii="Times New Roman" w:hAnsi="Times New Roman"/>
          <w:u w:val="single"/>
          <w:lang w:val="uk-UA"/>
        </w:rPr>
        <w:t>1</w:t>
      </w:r>
      <w:r w:rsidRPr="00017224">
        <w:rPr>
          <w:rFonts w:ascii="Times New Roman" w:hAnsi="Times New Roman"/>
          <w:u w:val="single"/>
          <w:lang w:val="uk-UA"/>
        </w:rPr>
        <w:t xml:space="preserve"> року</w:t>
      </w:r>
      <w:r w:rsidR="00D2733C">
        <w:rPr>
          <w:rFonts w:ascii="Times New Roman" w:hAnsi="Times New Roman"/>
          <w:b/>
          <w:lang w:val="uk-UA"/>
        </w:rPr>
        <w:t xml:space="preserve">      _________________</w:t>
      </w:r>
      <w:r w:rsidR="001549CC">
        <w:rPr>
          <w:rFonts w:ascii="Times New Roman" w:hAnsi="Times New Roman"/>
          <w:b/>
          <w:lang w:val="uk-UA"/>
        </w:rPr>
        <w:t xml:space="preserve">_      </w:t>
      </w:r>
      <w:r w:rsidR="00D2733C">
        <w:rPr>
          <w:rFonts w:ascii="Times New Roman" w:hAnsi="Times New Roman"/>
          <w:b/>
          <w:lang w:val="uk-UA"/>
        </w:rPr>
        <w:t xml:space="preserve">      </w:t>
      </w:r>
      <w:r w:rsidR="001549CC">
        <w:rPr>
          <w:rFonts w:ascii="Times New Roman" w:hAnsi="Times New Roman"/>
          <w:b/>
          <w:lang w:val="uk-UA"/>
        </w:rPr>
        <w:t xml:space="preserve">  </w:t>
      </w:r>
      <w:r w:rsidR="005B4DFE">
        <w:rPr>
          <w:rFonts w:ascii="Times New Roman" w:hAnsi="Times New Roman"/>
          <w:u w:val="single"/>
          <w:lang w:val="uk-UA"/>
        </w:rPr>
        <w:t>Тамара ОВЧАРЕНКО</w:t>
      </w:r>
      <w:r w:rsidR="00017224" w:rsidRPr="00017224">
        <w:rPr>
          <w:rFonts w:ascii="Times New Roman" w:hAnsi="Times New Roman"/>
          <w:u w:val="single"/>
          <w:lang w:val="uk-UA"/>
        </w:rPr>
        <w:t>.</w:t>
      </w:r>
    </w:p>
    <w:p w:rsidR="001549CC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дата                                         підпис                         ПІБ керівника відповідального</w:t>
      </w:r>
    </w:p>
    <w:p w:rsidR="001549CC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                                                                           структурного підрозділу місцевого </w:t>
      </w:r>
    </w:p>
    <w:p w:rsidR="001549CC" w:rsidRDefault="001549CC" w:rsidP="001549C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                                                                           органу влади</w:t>
      </w:r>
    </w:p>
    <w:p w:rsidR="001549CC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p w:rsidR="001549CC" w:rsidRPr="00392EF4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1</w:t>
      </w:r>
      <w:r>
        <w:rPr>
          <w:rFonts w:ascii="Times New Roman" w:hAnsi="Times New Roman"/>
          <w:lang w:val="uk-UA"/>
        </w:rPr>
        <w:t xml:space="preserve"> </w:t>
      </w:r>
      <w:r w:rsidRPr="00392EF4">
        <w:rPr>
          <w:rFonts w:ascii="Times New Roman" w:hAnsi="Times New Roman"/>
          <w:sz w:val="12"/>
          <w:szCs w:val="12"/>
          <w:lang w:val="uk-UA"/>
        </w:rPr>
        <w:t>Повинні відповідати даним реєстру проєктів</w:t>
      </w:r>
    </w:p>
    <w:p w:rsidR="001549CC" w:rsidRPr="00392EF4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392EF4">
        <w:rPr>
          <w:rFonts w:ascii="Times New Roman" w:hAnsi="Times New Roman"/>
          <w:sz w:val="12"/>
          <w:szCs w:val="12"/>
          <w:vertAlign w:val="superscript"/>
          <w:lang w:val="uk-UA"/>
        </w:rPr>
        <w:t>2</w:t>
      </w:r>
      <w:r w:rsidRPr="00392EF4">
        <w:rPr>
          <w:rFonts w:ascii="Times New Roman" w:hAnsi="Times New Roman"/>
          <w:sz w:val="12"/>
          <w:szCs w:val="12"/>
          <w:lang w:val="uk-UA"/>
        </w:rPr>
        <w:t xml:space="preserve"> Головний розпорядник коштів – визначений рішенням про місцевий бюджет, термін реалізації не повинен перевищувати бюджетний період</w:t>
      </w:r>
    </w:p>
    <w:p w:rsidR="001549CC" w:rsidRPr="00392EF4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392EF4">
        <w:rPr>
          <w:rFonts w:ascii="Times New Roman" w:hAnsi="Times New Roman"/>
          <w:sz w:val="12"/>
          <w:szCs w:val="12"/>
          <w:vertAlign w:val="superscript"/>
          <w:lang w:val="uk-UA"/>
        </w:rPr>
        <w:t>3</w:t>
      </w:r>
      <w:r w:rsidRPr="00392EF4">
        <w:rPr>
          <w:rFonts w:ascii="Times New Roman" w:hAnsi="Times New Roman"/>
          <w:sz w:val="12"/>
          <w:szCs w:val="12"/>
          <w:lang w:val="uk-UA"/>
        </w:rPr>
        <w:t xml:space="preserve"> Необхідно зазначити посилання на електронну адресу, яка містить інформацію про громадський проєкт відповідно до встановленого стандарту (бланку) з повним описом проєкту, очікуваним результатом, обґрунтування необхідності його впровадження</w:t>
      </w:r>
    </w:p>
    <w:p w:rsidR="001549CC" w:rsidRPr="00392EF4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12"/>
          <w:szCs w:val="12"/>
          <w:lang w:val="uk-UA"/>
        </w:rPr>
      </w:pPr>
      <w:r w:rsidRPr="00392EF4">
        <w:rPr>
          <w:rFonts w:ascii="Times New Roman" w:hAnsi="Times New Roman"/>
          <w:sz w:val="12"/>
          <w:szCs w:val="12"/>
          <w:vertAlign w:val="superscript"/>
          <w:lang w:val="uk-UA"/>
        </w:rPr>
        <w:t>4</w:t>
      </w:r>
      <w:r w:rsidRPr="00392EF4">
        <w:rPr>
          <w:rFonts w:ascii="Times New Roman" w:hAnsi="Times New Roman"/>
          <w:sz w:val="12"/>
          <w:szCs w:val="12"/>
          <w:lang w:val="uk-UA"/>
        </w:rPr>
        <w:t xml:space="preserve"> Обсяг бюджетних призначень головного розпорядника коштів </w:t>
      </w:r>
    </w:p>
    <w:p w:rsidR="001549CC" w:rsidRPr="00392EF4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392EF4">
        <w:rPr>
          <w:rFonts w:ascii="Times New Roman" w:hAnsi="Times New Roman"/>
          <w:sz w:val="12"/>
          <w:szCs w:val="12"/>
          <w:vertAlign w:val="superscript"/>
          <w:lang w:val="uk-UA"/>
        </w:rPr>
        <w:t>5</w:t>
      </w:r>
      <w:r w:rsidRPr="00392EF4">
        <w:rPr>
          <w:rFonts w:ascii="Times New Roman" w:hAnsi="Times New Roman"/>
          <w:sz w:val="12"/>
          <w:szCs w:val="12"/>
          <w:lang w:val="uk-UA"/>
        </w:rPr>
        <w:t xml:space="preserve"> Обсяг коштів, спрямований на фінансування проєкту у звітному періоді</w:t>
      </w:r>
    </w:p>
    <w:p w:rsidR="001549CC" w:rsidRPr="00392EF4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392EF4">
        <w:rPr>
          <w:rFonts w:ascii="Times New Roman" w:hAnsi="Times New Roman"/>
          <w:sz w:val="12"/>
          <w:szCs w:val="12"/>
          <w:vertAlign w:val="superscript"/>
          <w:lang w:val="uk-UA"/>
        </w:rPr>
        <w:t>6</w:t>
      </w:r>
      <w:r w:rsidRPr="00392EF4">
        <w:rPr>
          <w:rFonts w:ascii="Times New Roman" w:hAnsi="Times New Roman"/>
          <w:sz w:val="12"/>
          <w:szCs w:val="12"/>
          <w:lang w:val="uk-UA"/>
        </w:rPr>
        <w:t xml:space="preserve"> Різниця між плановим та фактичним обсягом коштів</w:t>
      </w:r>
      <w:r w:rsidRPr="00392EF4">
        <w:rPr>
          <w:rFonts w:ascii="Times New Roman" w:hAnsi="Times New Roman"/>
          <w:color w:val="FF0000"/>
          <w:sz w:val="12"/>
          <w:szCs w:val="12"/>
          <w:lang w:val="uk-UA"/>
        </w:rPr>
        <w:t xml:space="preserve"> </w:t>
      </w:r>
    </w:p>
    <w:p w:rsidR="00A35C62" w:rsidRPr="00392EF4" w:rsidRDefault="001549CC" w:rsidP="0000782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392EF4">
        <w:rPr>
          <w:rFonts w:ascii="Times New Roman" w:hAnsi="Times New Roman"/>
          <w:sz w:val="12"/>
          <w:szCs w:val="12"/>
          <w:vertAlign w:val="superscript"/>
          <w:lang w:val="uk-UA"/>
        </w:rPr>
        <w:t>7</w:t>
      </w:r>
      <w:r w:rsidRPr="00392EF4">
        <w:rPr>
          <w:rFonts w:ascii="Times New Roman" w:hAnsi="Times New Roman"/>
          <w:sz w:val="12"/>
          <w:szCs w:val="12"/>
          <w:lang w:val="uk-UA"/>
        </w:rPr>
        <w:t xml:space="preserve"> Коротко відобразити основні результати реалізації пр</w:t>
      </w:r>
      <w:r w:rsidR="00007820" w:rsidRPr="00392EF4">
        <w:rPr>
          <w:rFonts w:ascii="Times New Roman" w:hAnsi="Times New Roman"/>
          <w:sz w:val="12"/>
          <w:szCs w:val="12"/>
          <w:lang w:val="uk-UA"/>
        </w:rPr>
        <w:t>оєкту та рівень досягнення мети.</w:t>
      </w:r>
    </w:p>
    <w:sectPr w:rsidR="00A35C62" w:rsidRPr="00392EF4" w:rsidSect="001549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66"/>
    <w:rsid w:val="00007820"/>
    <w:rsid w:val="00017224"/>
    <w:rsid w:val="001549CC"/>
    <w:rsid w:val="001D543D"/>
    <w:rsid w:val="00392EF4"/>
    <w:rsid w:val="00566066"/>
    <w:rsid w:val="005B48E7"/>
    <w:rsid w:val="005B4DFE"/>
    <w:rsid w:val="00884551"/>
    <w:rsid w:val="008F4BCD"/>
    <w:rsid w:val="00A174AA"/>
    <w:rsid w:val="00A35C62"/>
    <w:rsid w:val="00A633A0"/>
    <w:rsid w:val="00D2733C"/>
    <w:rsid w:val="00F25F66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9828-28E0-4342-9911-472301F6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e de liste PBLH Знак,Bullet Points Знак,Liste Paragraf Знак,Graph &amp; Table tite Знак,Content2 Знак"/>
    <w:link w:val="a4"/>
    <w:uiPriority w:val="34"/>
    <w:locked/>
    <w:rsid w:val="001549CC"/>
  </w:style>
  <w:style w:type="paragraph" w:styleId="a4">
    <w:name w:val="List Paragraph"/>
    <w:aliases w:val="Paragraphe de liste PBLH,Bullet Points,Liste Paragraf,Graph &amp; Table tite,Content2"/>
    <w:basedOn w:val="a"/>
    <w:link w:val="a3"/>
    <w:uiPriority w:val="34"/>
    <w:qFormat/>
    <w:rsid w:val="001549C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1549C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F350-17B7-46CA-B555-9262F6C5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Viddil Ekonomiku</cp:lastModifiedBy>
  <cp:revision>3</cp:revision>
  <dcterms:created xsi:type="dcterms:W3CDTF">2021-02-04T10:19:00Z</dcterms:created>
  <dcterms:modified xsi:type="dcterms:W3CDTF">2021-02-15T15:23:00Z</dcterms:modified>
</cp:coreProperties>
</file>