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05B3" w14:textId="77777777" w:rsidR="003574FE" w:rsidRDefault="003574FE" w:rsidP="003574FE">
      <w:pPr>
        <w:spacing w:line="0" w:lineRule="atLeast"/>
        <w:jc w:val="right"/>
        <w:textAlignment w:val="baseline"/>
        <w:rPr>
          <w:color w:val="auto"/>
          <w:bdr w:val="none" w:sz="0" w:space="0" w:color="auto" w:frame="1"/>
          <w:lang w:eastAsia="ru-RU"/>
        </w:rPr>
      </w:pPr>
      <w:r>
        <w:rPr>
          <w:color w:val="auto"/>
          <w:bdr w:val="none" w:sz="0" w:space="0" w:color="auto" w:frame="1"/>
          <w:lang w:eastAsia="ru-RU"/>
        </w:rPr>
        <w:t>Додаток 1</w:t>
      </w:r>
    </w:p>
    <w:p w14:paraId="4C8CB191" w14:textId="77777777" w:rsidR="003574FE" w:rsidRDefault="003574FE" w:rsidP="003574FE">
      <w:pPr>
        <w:spacing w:line="0" w:lineRule="atLeast"/>
        <w:jc w:val="right"/>
        <w:textAlignment w:val="baseline"/>
        <w:rPr>
          <w:color w:val="auto"/>
          <w:bdr w:val="none" w:sz="0" w:space="0" w:color="auto" w:frame="1"/>
          <w:lang w:eastAsia="ru-RU"/>
        </w:rPr>
      </w:pPr>
      <w:r>
        <w:rPr>
          <w:color w:val="auto"/>
          <w:bdr w:val="none" w:sz="0" w:space="0" w:color="auto" w:frame="1"/>
          <w:lang w:eastAsia="ru-RU"/>
        </w:rPr>
        <w:t xml:space="preserve"> до розпорядження №46  від 19.02.2021</w:t>
      </w:r>
    </w:p>
    <w:p w14:paraId="4C84E629" w14:textId="77777777" w:rsidR="003574FE" w:rsidRPr="00F74069" w:rsidRDefault="003574FE" w:rsidP="003574FE">
      <w:pPr>
        <w:spacing w:before="100" w:beforeAutospacing="1" w:after="100" w:afterAutospacing="1"/>
        <w:jc w:val="center"/>
        <w:textAlignment w:val="baseline"/>
        <w:rPr>
          <w:b/>
          <w:color w:val="auto"/>
          <w:lang w:eastAsia="ru-RU"/>
        </w:rPr>
      </w:pPr>
      <w:r w:rsidRPr="00F74069">
        <w:rPr>
          <w:b/>
          <w:color w:val="auto"/>
          <w:bdr w:val="none" w:sz="0" w:space="0" w:color="auto" w:frame="1"/>
          <w:lang w:eastAsia="ru-RU"/>
        </w:rPr>
        <w:t>ДОГОВІР №__</w:t>
      </w:r>
    </w:p>
    <w:p w14:paraId="217E8E9C" w14:textId="77777777" w:rsidR="003574FE" w:rsidRPr="00F74069" w:rsidRDefault="003574FE" w:rsidP="003574FE">
      <w:pPr>
        <w:spacing w:before="100" w:beforeAutospacing="1" w:after="100" w:afterAutospacing="1"/>
        <w:jc w:val="center"/>
        <w:textAlignment w:val="baseline"/>
        <w:rPr>
          <w:b/>
          <w:color w:val="auto"/>
          <w:lang w:eastAsia="ru-RU"/>
        </w:rPr>
      </w:pPr>
      <w:r w:rsidRPr="00F74069">
        <w:rPr>
          <w:b/>
          <w:color w:val="auto"/>
          <w:bdr w:val="none" w:sz="0" w:space="0" w:color="auto" w:frame="1"/>
          <w:lang w:eastAsia="ru-RU"/>
        </w:rPr>
        <w:t>на надання  послуг з охорони праці та пожежної безпеки</w:t>
      </w:r>
    </w:p>
    <w:p w14:paraId="0F31B6BD" w14:textId="77777777" w:rsidR="003574FE" w:rsidRPr="00F74069" w:rsidRDefault="003574FE" w:rsidP="003574FE">
      <w:pPr>
        <w:spacing w:before="100" w:beforeAutospacing="1" w:after="100" w:afterAutospacing="1"/>
        <w:jc w:val="center"/>
        <w:textAlignment w:val="baseline"/>
        <w:rPr>
          <w:b/>
          <w:color w:val="auto"/>
          <w:lang w:eastAsia="ru-RU"/>
        </w:rPr>
      </w:pPr>
      <w:r w:rsidRPr="00F74069">
        <w:rPr>
          <w:b/>
          <w:color w:val="auto"/>
          <w:lang w:eastAsia="ru-RU"/>
        </w:rPr>
        <w:t> с.Степанки                                                                   “____”  _________  2021 р.</w:t>
      </w:r>
    </w:p>
    <w:p w14:paraId="013C2FC1" w14:textId="77777777" w:rsidR="003574FE" w:rsidRDefault="003574FE" w:rsidP="003574FE">
      <w:pPr>
        <w:spacing w:before="100" w:beforeAutospacing="1" w:after="100" w:afterAutospacing="1"/>
        <w:textAlignment w:val="baseline"/>
        <w:rPr>
          <w:color w:val="auto"/>
          <w:lang w:eastAsia="ru-RU"/>
        </w:rPr>
      </w:pPr>
      <w:r>
        <w:rPr>
          <w:color w:val="auto"/>
          <w:lang w:eastAsia="ru-RU"/>
        </w:rPr>
        <w:t> </w:t>
      </w:r>
      <w:r>
        <w:rPr>
          <w:color w:val="auto"/>
          <w:bdr w:val="none" w:sz="0" w:space="0" w:color="auto" w:frame="1"/>
          <w:lang w:eastAsia="ru-RU"/>
        </w:rPr>
        <w:t>ЗАМОВНИК: _________________________________________________ </w:t>
      </w:r>
      <w:r>
        <w:rPr>
          <w:color w:val="auto"/>
          <w:lang w:eastAsia="ru-RU"/>
        </w:rPr>
        <w:t>в особі _________________________________, що діє на підставі____________,  з одної сторони, і</w:t>
      </w:r>
    </w:p>
    <w:p w14:paraId="7D00B056" w14:textId="77777777" w:rsidR="003574FE" w:rsidRDefault="003574FE" w:rsidP="003574FE">
      <w:pPr>
        <w:spacing w:before="100" w:beforeAutospacing="1" w:after="100" w:afterAutospacing="1"/>
        <w:jc w:val="both"/>
        <w:textAlignment w:val="baseline"/>
        <w:rPr>
          <w:color w:val="auto"/>
          <w:lang w:eastAsia="ru-RU"/>
        </w:rPr>
      </w:pPr>
      <w:r>
        <w:rPr>
          <w:color w:val="auto"/>
          <w:bdr w:val="none" w:sz="0" w:space="0" w:color="auto" w:frame="1"/>
          <w:lang w:eastAsia="ru-RU"/>
        </w:rPr>
        <w:t>ВИКОНАВЕЦЬ: </w:t>
      </w:r>
      <w:r>
        <w:rPr>
          <w:color w:val="auto"/>
          <w:lang w:eastAsia="ru-RU"/>
        </w:rPr>
        <w:t>виконавчий комітет Степанківської сільської ради, в особі сільського голови Чекаленко Ігоря Миколайовича, що діє на підставі ЗУ «Про місцеве самоврядування в Україні» від 21.05.1997 року з іншої сторони, разом – Сторони, а кожен окремо – Сторона, уклали даний Договір про наступне:</w:t>
      </w:r>
    </w:p>
    <w:p w14:paraId="1E79E069" w14:textId="77777777" w:rsidR="003574FE" w:rsidRDefault="003574FE" w:rsidP="003574FE">
      <w:pPr>
        <w:spacing w:before="100" w:beforeAutospacing="1" w:after="100" w:afterAutospacing="1"/>
        <w:jc w:val="center"/>
        <w:textAlignment w:val="baseline"/>
        <w:rPr>
          <w:color w:val="auto"/>
          <w:lang w:eastAsia="ru-RU"/>
        </w:rPr>
      </w:pPr>
      <w:r>
        <w:rPr>
          <w:color w:val="auto"/>
          <w:bdr w:val="none" w:sz="0" w:space="0" w:color="auto" w:frame="1"/>
          <w:lang w:eastAsia="ru-RU"/>
        </w:rPr>
        <w:t>1. ПРЕДМЕТ ДОГОВОРУ</w:t>
      </w:r>
    </w:p>
    <w:p w14:paraId="44A2E340" w14:textId="77777777" w:rsidR="003574FE" w:rsidRDefault="003574FE" w:rsidP="003574FE">
      <w:pPr>
        <w:spacing w:before="100" w:beforeAutospacing="1" w:after="100" w:afterAutospacing="1"/>
        <w:jc w:val="both"/>
        <w:textAlignment w:val="baseline"/>
        <w:rPr>
          <w:color w:val="auto"/>
          <w:lang w:eastAsia="ru-RU"/>
        </w:rPr>
      </w:pPr>
      <w:r>
        <w:rPr>
          <w:color w:val="auto"/>
          <w:lang w:eastAsia="ru-RU"/>
        </w:rPr>
        <w:t>1.1.   Замовник доручає, а Виконавець зобов’язується згідно статті 15 Закону України “Про охорону праці” виконувати функції служби охорони праці та техніки безпеки в комунальному закладі (установі), а Замовник зобов’язується прийняти послуги.</w:t>
      </w:r>
    </w:p>
    <w:p w14:paraId="37F4F68D" w14:textId="77777777" w:rsidR="003574FE" w:rsidRDefault="003574FE" w:rsidP="003574FE">
      <w:pPr>
        <w:spacing w:before="100" w:beforeAutospacing="1" w:after="100" w:afterAutospacing="1"/>
        <w:jc w:val="center"/>
        <w:textAlignment w:val="baseline"/>
        <w:rPr>
          <w:color w:val="auto"/>
          <w:lang w:eastAsia="ru-RU"/>
        </w:rPr>
      </w:pPr>
      <w:r>
        <w:rPr>
          <w:color w:val="auto"/>
          <w:bdr w:val="none" w:sz="0" w:space="0" w:color="auto" w:frame="1"/>
          <w:lang w:eastAsia="ru-RU"/>
        </w:rPr>
        <w:t>2. ПОРЯДОК НАДАННЯ ПОСЛУГ/ВИКОНАННЯ РОБІТ</w:t>
      </w:r>
    </w:p>
    <w:p w14:paraId="4BA35311" w14:textId="77777777" w:rsidR="003574FE" w:rsidRDefault="003574FE" w:rsidP="003574FE">
      <w:pPr>
        <w:spacing w:before="100" w:beforeAutospacing="1" w:after="100" w:afterAutospacing="1"/>
        <w:textAlignment w:val="baseline"/>
        <w:rPr>
          <w:color w:val="auto"/>
          <w:lang w:eastAsia="ru-RU"/>
        </w:rPr>
      </w:pPr>
      <w:r>
        <w:rPr>
          <w:color w:val="auto"/>
          <w:lang w:eastAsia="ru-RU"/>
        </w:rPr>
        <w:t>2.1. Виконавець надає наступні послуги для Замовника:</w:t>
      </w:r>
    </w:p>
    <w:p w14:paraId="53B696D4"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проведення з працівниками вступного інструктажу та періодичних інструктажів з охорони праці, пожежн</w:t>
      </w:r>
      <w:r>
        <w:rPr>
          <w:color w:val="000000" w:themeColor="text1"/>
          <w:lang w:eastAsia="ru-RU"/>
        </w:rPr>
        <w:t xml:space="preserve">ої безпеки та </w:t>
      </w:r>
      <w:r>
        <w:rPr>
          <w:color w:val="000000" w:themeColor="text1"/>
          <w:shd w:val="clear" w:color="auto" w:fill="FFFFFF"/>
        </w:rPr>
        <w:t>питань цивільного захисту, дій у надзвичайних ситуаціях</w:t>
      </w:r>
      <w:r>
        <w:rPr>
          <w:color w:val="000000" w:themeColor="text1"/>
          <w:lang w:eastAsia="ru-RU"/>
        </w:rPr>
        <w:t>;</w:t>
      </w:r>
    </w:p>
    <w:p w14:paraId="1EC53330"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підготовка та проведення з працівниками інструктажу з охорони праці та пожежної безпеки на робочому місці;</w:t>
      </w:r>
    </w:p>
    <w:p w14:paraId="0E4968B2"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підготовка та формування нормативно правових документів з питань охорони праці та пожежної безпеки і внесення їх на розгляд роботодавцю (положення, переліки, накази, інструкції, журнали, плани) згідно Закону України “Про охорону праці”, Закону України “Про пожежну безпеку” кодексу «Цивільного захисту» та інших нормативно-правових актів;</w:t>
      </w:r>
    </w:p>
    <w:p w14:paraId="3142273E"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проведення щоквартальних перевірок дотримання працівниками вимог нормативно-правових актів з охорони праці та пожежної безпеки;</w:t>
      </w:r>
    </w:p>
    <w:p w14:paraId="51E8404D"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складання звітності з охорони праці та пожежної безпеки за встановленими формами згідно чинного законодавства;</w:t>
      </w:r>
    </w:p>
    <w:p w14:paraId="55F7AE73"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lastRenderedPageBreak/>
        <w:t xml:space="preserve"> розроблення спільно з іншими підрозділами комунального закладу (установи) комплексних заходів для досягнення встановлених нормативів та підвищення існуючого рівня охорони праці та пожежної безпеки, планів, програм поліпшення умов праці, запобігання виробничому травматизму, професійним захворюванням, надання організаційно-методичної допомоги у виконанні запланованих заходів;</w:t>
      </w:r>
    </w:p>
    <w:p w14:paraId="19EC61DF"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ведення обліку та проведення аналізу причин виробничого травматизму, професійних захворювань, аварій, заподіяної ними шкоди;</w:t>
      </w:r>
    </w:p>
    <w:p w14:paraId="1C7377AA"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забезпечення належного оформлення і зберігання документації з питань охорони праці та пожежної безпеки, а також своєчасної передачі її до архіву для тривалого зберігання згідно чинного законодавства;</w:t>
      </w:r>
    </w:p>
    <w:p w14:paraId="14C26B75"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складання за участю керівників закладу (установи) переліків професій, посад і видів робіт, на які повинні бути розроблені інструкції з охорони (безпеки) праці, що діють в межах підприємства, надання методичної допомоги під час їх розроблення;</w:t>
      </w:r>
    </w:p>
    <w:p w14:paraId="01A131E9"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інформування працівників про основні вимоги законів, інших нормативно-правових актів та актів з охорони праці та техніки безпеки, що діють в межах підприємства, в тому числі підготовка та оформлення поточної документації по охороні праці для Замовника – згідно Закону України “Про охорону праці” та специфіки комунального закладу;</w:t>
      </w:r>
    </w:p>
    <w:p w14:paraId="20047949"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забезпечення Замовника  необхідними інформаційно-довідковими матеріалами  (роздруківки, журнали, нормативна документація і т.д.);</w:t>
      </w:r>
    </w:p>
    <w:p w14:paraId="66AD9D7D" w14:textId="77777777" w:rsidR="003574FE" w:rsidRDefault="003574FE" w:rsidP="003574FE">
      <w:pPr>
        <w:numPr>
          <w:ilvl w:val="0"/>
          <w:numId w:val="1"/>
        </w:numPr>
        <w:spacing w:before="100" w:beforeAutospacing="1" w:after="100" w:afterAutospacing="1" w:line="256" w:lineRule="auto"/>
        <w:ind w:left="709" w:hanging="283"/>
        <w:jc w:val="both"/>
        <w:textAlignment w:val="baseline"/>
        <w:rPr>
          <w:color w:val="auto"/>
          <w:lang w:eastAsia="ru-RU"/>
        </w:rPr>
      </w:pPr>
      <w:r>
        <w:rPr>
          <w:color w:val="auto"/>
          <w:lang w:eastAsia="ru-RU"/>
        </w:rPr>
        <w:t xml:space="preserve"> організація, при необхідності, проведення навчання спеціалістів Замовника, в спеціалізованих учбових центрах.</w:t>
      </w:r>
    </w:p>
    <w:p w14:paraId="2D7FC40D" w14:textId="77777777" w:rsidR="003574FE" w:rsidRDefault="003574FE" w:rsidP="003574FE">
      <w:pPr>
        <w:spacing w:before="100" w:beforeAutospacing="1" w:after="100" w:afterAutospacing="1"/>
        <w:jc w:val="both"/>
        <w:textAlignment w:val="baseline"/>
        <w:rPr>
          <w:color w:val="auto"/>
          <w:lang w:eastAsia="ru-RU"/>
        </w:rPr>
      </w:pPr>
      <w:r>
        <w:rPr>
          <w:color w:val="auto"/>
          <w:lang w:eastAsia="ru-RU"/>
        </w:rPr>
        <w:t>2.2. Виконавець зобов’язується розпочати виконання робіт, наданням послуги протягом 5-х днів з моменту підписання даного Договору.</w:t>
      </w:r>
    </w:p>
    <w:p w14:paraId="1990FDA4" w14:textId="77777777" w:rsidR="003574FE" w:rsidRDefault="003574FE" w:rsidP="003574FE">
      <w:pPr>
        <w:spacing w:before="100" w:beforeAutospacing="1" w:after="100" w:afterAutospacing="1"/>
        <w:jc w:val="center"/>
        <w:textAlignment w:val="baseline"/>
        <w:rPr>
          <w:color w:val="auto"/>
          <w:lang w:eastAsia="ru-RU"/>
        </w:rPr>
      </w:pPr>
      <w:r>
        <w:rPr>
          <w:color w:val="auto"/>
          <w:bdr w:val="none" w:sz="0" w:space="0" w:color="auto" w:frame="1"/>
          <w:lang w:eastAsia="ru-RU"/>
        </w:rPr>
        <w:t>3. ОБОВ’ЯЗКИ ЗАМОВНИКА</w:t>
      </w:r>
    </w:p>
    <w:p w14:paraId="6A5F4B07" w14:textId="77777777" w:rsidR="003574FE" w:rsidRDefault="003574FE" w:rsidP="003574FE">
      <w:pPr>
        <w:spacing w:before="100" w:beforeAutospacing="1" w:after="100" w:afterAutospacing="1"/>
        <w:jc w:val="both"/>
        <w:textAlignment w:val="baseline"/>
        <w:rPr>
          <w:color w:val="auto"/>
          <w:lang w:eastAsia="ru-RU"/>
        </w:rPr>
      </w:pPr>
      <w:r>
        <w:rPr>
          <w:color w:val="auto"/>
          <w:lang w:eastAsia="ru-RU"/>
        </w:rPr>
        <w:t>3.1. Замовник з моменту підписання даного Договору надає Виконавцю всі необхідні документи та  інформацію для якісного виконання робіт / надання послуги.</w:t>
      </w:r>
    </w:p>
    <w:p w14:paraId="64CE2C33" w14:textId="77777777" w:rsidR="003574FE" w:rsidRDefault="003574FE" w:rsidP="003574FE">
      <w:pPr>
        <w:spacing w:before="100" w:beforeAutospacing="1" w:after="100" w:afterAutospacing="1"/>
        <w:jc w:val="center"/>
        <w:textAlignment w:val="baseline"/>
        <w:rPr>
          <w:color w:val="auto"/>
          <w:lang w:eastAsia="ru-RU"/>
        </w:rPr>
      </w:pPr>
      <w:r>
        <w:rPr>
          <w:color w:val="auto"/>
          <w:bdr w:val="none" w:sz="0" w:space="0" w:color="auto" w:frame="1"/>
          <w:lang w:eastAsia="ru-RU"/>
        </w:rPr>
        <w:t>4. ВІДПОВІДАЛЬНІСТЬ СТОРІН</w:t>
      </w:r>
    </w:p>
    <w:p w14:paraId="54828681" w14:textId="77777777" w:rsidR="003574FE" w:rsidRDefault="003574FE" w:rsidP="003574FE">
      <w:pPr>
        <w:spacing w:before="100" w:beforeAutospacing="1" w:after="100" w:afterAutospacing="1"/>
        <w:jc w:val="both"/>
        <w:textAlignment w:val="baseline"/>
        <w:rPr>
          <w:color w:val="auto"/>
          <w:lang w:eastAsia="ru-RU"/>
        </w:rPr>
      </w:pPr>
      <w:r>
        <w:rPr>
          <w:color w:val="auto"/>
          <w:lang w:eastAsia="ru-RU"/>
        </w:rPr>
        <w:t>4.1.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2E6EE4DF" w14:textId="77777777" w:rsidR="003574FE" w:rsidRDefault="003574FE" w:rsidP="003574FE">
      <w:pPr>
        <w:spacing w:before="100" w:beforeAutospacing="1" w:after="100" w:afterAutospacing="1"/>
        <w:jc w:val="both"/>
        <w:textAlignment w:val="baseline"/>
        <w:rPr>
          <w:color w:val="auto"/>
          <w:lang w:eastAsia="ru-RU"/>
        </w:rPr>
      </w:pPr>
    </w:p>
    <w:p w14:paraId="6F4F08F7" w14:textId="77777777" w:rsidR="003574FE" w:rsidRDefault="003574FE" w:rsidP="003574FE">
      <w:pPr>
        <w:spacing w:line="0" w:lineRule="atLeast"/>
        <w:jc w:val="center"/>
        <w:textAlignment w:val="baseline"/>
        <w:rPr>
          <w:color w:val="auto"/>
          <w:bdr w:val="none" w:sz="0" w:space="0" w:color="auto" w:frame="1"/>
          <w:lang w:eastAsia="ru-RU"/>
        </w:rPr>
      </w:pPr>
      <w:r>
        <w:rPr>
          <w:color w:val="auto"/>
          <w:bdr w:val="none" w:sz="0" w:space="0" w:color="auto" w:frame="1"/>
          <w:lang w:eastAsia="ru-RU"/>
        </w:rPr>
        <w:t>5. ІНШІ УМОВИ</w:t>
      </w:r>
    </w:p>
    <w:p w14:paraId="4617D049" w14:textId="77777777" w:rsidR="003574FE" w:rsidRDefault="003574FE" w:rsidP="003574FE">
      <w:pPr>
        <w:spacing w:line="0" w:lineRule="atLeast"/>
        <w:jc w:val="center"/>
        <w:textAlignment w:val="baseline"/>
        <w:rPr>
          <w:color w:val="auto"/>
          <w:lang w:eastAsia="ru-RU"/>
        </w:rPr>
      </w:pPr>
    </w:p>
    <w:p w14:paraId="1A9E515F" w14:textId="77777777" w:rsidR="003574FE" w:rsidRDefault="003574FE" w:rsidP="003574FE">
      <w:pPr>
        <w:spacing w:line="0" w:lineRule="atLeast"/>
        <w:jc w:val="both"/>
        <w:textAlignment w:val="baseline"/>
        <w:rPr>
          <w:color w:val="auto"/>
          <w:lang w:eastAsia="ru-RU"/>
        </w:rPr>
      </w:pPr>
      <w:r>
        <w:rPr>
          <w:color w:val="auto"/>
          <w:lang w:eastAsia="ru-RU"/>
        </w:rPr>
        <w:t>5.1. Термін дії договору: з моменту підписання до 31.12.2021 р.</w:t>
      </w:r>
    </w:p>
    <w:p w14:paraId="46A45C9D" w14:textId="77777777" w:rsidR="003574FE" w:rsidRDefault="003574FE" w:rsidP="003574FE">
      <w:pPr>
        <w:spacing w:line="0" w:lineRule="atLeast"/>
        <w:jc w:val="both"/>
        <w:textAlignment w:val="baseline"/>
        <w:rPr>
          <w:color w:val="auto"/>
          <w:lang w:eastAsia="ru-RU"/>
        </w:rPr>
      </w:pPr>
      <w:r>
        <w:rPr>
          <w:color w:val="auto"/>
          <w:lang w:eastAsia="ru-RU"/>
        </w:rPr>
        <w:t>5.2. Даний Договір складено у двох оригінальних примірниках, що мають однакову юридичну силу, по одному для кожної із сторін.</w:t>
      </w:r>
    </w:p>
    <w:p w14:paraId="2A81C83B" w14:textId="77777777" w:rsidR="003574FE" w:rsidRDefault="003574FE" w:rsidP="003574FE">
      <w:pPr>
        <w:spacing w:line="0" w:lineRule="atLeast"/>
        <w:jc w:val="both"/>
        <w:textAlignment w:val="baseline"/>
        <w:rPr>
          <w:color w:val="auto"/>
          <w:lang w:eastAsia="ru-RU"/>
        </w:rPr>
      </w:pPr>
      <w:r>
        <w:rPr>
          <w:color w:val="auto"/>
          <w:lang w:eastAsia="ru-RU"/>
        </w:rPr>
        <w:t>5.3. У випадках, не передбачених даним Договором, сторони керуються чинним законодавством України.</w:t>
      </w:r>
    </w:p>
    <w:p w14:paraId="4FEB4710" w14:textId="77777777" w:rsidR="003574FE" w:rsidRDefault="003574FE" w:rsidP="003574FE">
      <w:pPr>
        <w:spacing w:line="0" w:lineRule="atLeast"/>
        <w:jc w:val="both"/>
        <w:textAlignment w:val="baseline"/>
        <w:rPr>
          <w:color w:val="auto"/>
          <w:lang w:eastAsia="ru-RU"/>
        </w:rPr>
      </w:pPr>
      <w:r>
        <w:rPr>
          <w:color w:val="auto"/>
          <w:lang w:eastAsia="ru-RU"/>
        </w:rPr>
        <w:t>5.4.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14:paraId="10122388" w14:textId="77777777" w:rsidR="003574FE" w:rsidRDefault="003574FE" w:rsidP="003574FE">
      <w:pPr>
        <w:spacing w:line="0" w:lineRule="atLeast"/>
        <w:jc w:val="both"/>
        <w:textAlignment w:val="baseline"/>
        <w:rPr>
          <w:color w:val="auto"/>
          <w:lang w:eastAsia="ru-RU"/>
        </w:rPr>
      </w:pPr>
      <w:r>
        <w:rPr>
          <w:color w:val="auto"/>
          <w:lang w:eastAsia="ru-RU"/>
        </w:rPr>
        <w:t xml:space="preserve">5.5.  </w:t>
      </w:r>
      <w:r>
        <w:rPr>
          <w:rFonts w:eastAsiaTheme="minorHAnsi"/>
          <w:lang w:eastAsia="en-US"/>
        </w:rPr>
        <w:t>Умови Договору можуть бути змінені тільки за взаємною згодою сторін, що оформляється у письмовій формі, у вигляді додаткових угод до цього договору, які становлять його невід’ємну частину</w:t>
      </w:r>
    </w:p>
    <w:p w14:paraId="22E9CF68" w14:textId="77777777" w:rsidR="003574FE" w:rsidRDefault="003574FE" w:rsidP="003574FE">
      <w:pPr>
        <w:spacing w:before="100" w:beforeAutospacing="1" w:after="100" w:afterAutospacing="1"/>
        <w:jc w:val="center"/>
        <w:textAlignment w:val="baseline"/>
        <w:rPr>
          <w:color w:val="auto"/>
          <w:lang w:eastAsia="ru-RU"/>
        </w:rPr>
      </w:pPr>
      <w:r>
        <w:rPr>
          <w:color w:val="auto"/>
          <w:bdr w:val="none" w:sz="0" w:space="0" w:color="auto" w:frame="1"/>
          <w:lang w:eastAsia="ru-RU"/>
        </w:rPr>
        <w:t>6. ЮРИДИЧНІ АДРЕСИ, ПІДПИСИ СТОРІН</w:t>
      </w:r>
    </w:p>
    <w:p w14:paraId="7EC688B1" w14:textId="77777777" w:rsidR="003574FE" w:rsidRDefault="003574FE" w:rsidP="003574FE">
      <w:pPr>
        <w:spacing w:before="100" w:beforeAutospacing="1" w:after="100" w:afterAutospacing="1"/>
        <w:jc w:val="center"/>
        <w:textAlignment w:val="baseline"/>
        <w:rPr>
          <w:color w:val="auto"/>
          <w:bdr w:val="none" w:sz="0" w:space="0" w:color="auto" w:frame="1"/>
          <w:lang w:eastAsia="ru-RU"/>
        </w:rPr>
      </w:pPr>
      <w:r>
        <w:rPr>
          <w:color w:val="auto"/>
          <w:bdr w:val="none" w:sz="0" w:space="0" w:color="auto" w:frame="1"/>
          <w:lang w:eastAsia="ru-RU"/>
        </w:rPr>
        <w:t>Юридичні адреси, банківські реквізити і підписи сторін</w:t>
      </w:r>
    </w:p>
    <w:p w14:paraId="2176EC2F" w14:textId="77777777" w:rsidR="003574FE" w:rsidRDefault="003574FE" w:rsidP="003574FE">
      <w:pPr>
        <w:spacing w:before="100" w:beforeAutospacing="1" w:after="100" w:afterAutospacing="1"/>
        <w:jc w:val="center"/>
        <w:textAlignment w:val="baseline"/>
        <w:rPr>
          <w:color w:val="auto"/>
          <w:lang w:eastAsia="ru-RU"/>
        </w:rPr>
      </w:pPr>
      <w:r>
        <w:rPr>
          <w:color w:val="auto"/>
          <w:bdr w:val="none" w:sz="0" w:space="0" w:color="auto" w:frame="1"/>
          <w:lang w:eastAsia="ru-RU"/>
        </w:rPr>
        <w:t>ЗАМОВНИК:                                                           ВИКОНАВЕЦЬ:</w:t>
      </w:r>
    </w:p>
    <w:tbl>
      <w:tblPr>
        <w:tblW w:w="9210" w:type="dxa"/>
        <w:tblCellMar>
          <w:left w:w="0" w:type="dxa"/>
          <w:right w:w="0" w:type="dxa"/>
        </w:tblCellMar>
        <w:tblLook w:val="04A0" w:firstRow="1" w:lastRow="0" w:firstColumn="1" w:lastColumn="0" w:noHBand="0" w:noVBand="1"/>
      </w:tblPr>
      <w:tblGrid>
        <w:gridCol w:w="1345"/>
        <w:gridCol w:w="3658"/>
        <w:gridCol w:w="1345"/>
        <w:gridCol w:w="2862"/>
      </w:tblGrid>
      <w:tr w:rsidR="003574FE" w14:paraId="47E96455" w14:textId="77777777" w:rsidTr="00CC75D9">
        <w:tc>
          <w:tcPr>
            <w:tcW w:w="1140" w:type="dxa"/>
            <w:tcBorders>
              <w:top w:val="nil"/>
              <w:left w:val="nil"/>
              <w:bottom w:val="single" w:sz="6" w:space="0" w:color="D0D0D0"/>
              <w:right w:val="nil"/>
            </w:tcBorders>
            <w:tcMar>
              <w:top w:w="75" w:type="dxa"/>
              <w:left w:w="75" w:type="dxa"/>
              <w:bottom w:w="75" w:type="dxa"/>
              <w:right w:w="75" w:type="dxa"/>
            </w:tcMar>
            <w:hideMark/>
          </w:tcPr>
          <w:p w14:paraId="6A4F808B" w14:textId="77777777" w:rsidR="003574FE" w:rsidRDefault="003574FE" w:rsidP="00CC75D9">
            <w:pPr>
              <w:spacing w:line="256" w:lineRule="auto"/>
              <w:rPr>
                <w:b/>
                <w:bCs/>
                <w:color w:val="auto"/>
                <w:lang w:eastAsia="ru-RU"/>
              </w:rPr>
            </w:pPr>
            <w:r>
              <w:rPr>
                <w:b/>
                <w:bCs/>
                <w:i/>
                <w:iCs/>
                <w:color w:val="auto"/>
                <w:bdr w:val="none" w:sz="0" w:space="0" w:color="auto" w:frame="1"/>
                <w:lang w:eastAsia="ru-RU"/>
              </w:rPr>
              <w:t> </w:t>
            </w:r>
          </w:p>
        </w:tc>
        <w:tc>
          <w:tcPr>
            <w:tcW w:w="4170" w:type="dxa"/>
            <w:tcBorders>
              <w:top w:val="nil"/>
              <w:left w:val="nil"/>
              <w:bottom w:val="single" w:sz="6" w:space="0" w:color="D0D0D0"/>
              <w:right w:val="nil"/>
            </w:tcBorders>
            <w:tcMar>
              <w:top w:w="75" w:type="dxa"/>
              <w:left w:w="75" w:type="dxa"/>
              <w:bottom w:w="75" w:type="dxa"/>
              <w:right w:w="75" w:type="dxa"/>
            </w:tcMar>
            <w:hideMark/>
          </w:tcPr>
          <w:p w14:paraId="07033A8D" w14:textId="77777777" w:rsidR="003574FE" w:rsidRDefault="003574FE" w:rsidP="00CC75D9">
            <w:pPr>
              <w:spacing w:line="256" w:lineRule="auto"/>
              <w:rPr>
                <w:b/>
                <w:bCs/>
                <w:color w:val="auto"/>
                <w:lang w:eastAsia="ru-RU"/>
              </w:rPr>
            </w:pPr>
            <w:r>
              <w:rPr>
                <w:b/>
                <w:bCs/>
                <w:i/>
                <w:iCs/>
                <w:color w:val="auto"/>
                <w:bdr w:val="none" w:sz="0" w:space="0" w:color="auto" w:frame="1"/>
                <w:lang w:eastAsia="ru-RU"/>
              </w:rPr>
              <w:t> </w:t>
            </w:r>
          </w:p>
        </w:tc>
        <w:tc>
          <w:tcPr>
            <w:tcW w:w="1230" w:type="dxa"/>
            <w:tcBorders>
              <w:top w:val="nil"/>
              <w:left w:val="nil"/>
              <w:bottom w:val="single" w:sz="6" w:space="0" w:color="D0D0D0"/>
              <w:right w:val="nil"/>
            </w:tcBorders>
            <w:tcMar>
              <w:top w:w="75" w:type="dxa"/>
              <w:left w:w="75" w:type="dxa"/>
              <w:bottom w:w="75" w:type="dxa"/>
              <w:right w:w="75" w:type="dxa"/>
            </w:tcMar>
            <w:hideMark/>
          </w:tcPr>
          <w:p w14:paraId="21E9F5D6" w14:textId="77777777" w:rsidR="003574FE" w:rsidRDefault="003574FE" w:rsidP="00CC75D9">
            <w:pPr>
              <w:spacing w:line="256" w:lineRule="auto"/>
              <w:rPr>
                <w:b/>
                <w:bCs/>
                <w:color w:val="auto"/>
                <w:lang w:eastAsia="ru-RU"/>
              </w:rPr>
            </w:pPr>
            <w:r>
              <w:rPr>
                <w:b/>
                <w:bCs/>
                <w:color w:val="auto"/>
                <w:lang w:eastAsia="ru-RU"/>
              </w:rPr>
              <w:t> </w:t>
            </w:r>
          </w:p>
        </w:tc>
        <w:tc>
          <w:tcPr>
            <w:tcW w:w="3255" w:type="dxa"/>
            <w:tcBorders>
              <w:top w:val="nil"/>
              <w:left w:val="nil"/>
              <w:bottom w:val="single" w:sz="6" w:space="0" w:color="D0D0D0"/>
              <w:right w:val="nil"/>
            </w:tcBorders>
            <w:tcMar>
              <w:top w:w="75" w:type="dxa"/>
              <w:left w:w="75" w:type="dxa"/>
              <w:bottom w:w="75" w:type="dxa"/>
              <w:right w:w="75" w:type="dxa"/>
            </w:tcMar>
            <w:hideMark/>
          </w:tcPr>
          <w:p w14:paraId="2788D894" w14:textId="77777777" w:rsidR="003574FE" w:rsidRDefault="003574FE" w:rsidP="00CC75D9">
            <w:pPr>
              <w:spacing w:line="256" w:lineRule="auto"/>
              <w:rPr>
                <w:b/>
                <w:bCs/>
                <w:color w:val="auto"/>
                <w:lang w:eastAsia="ru-RU"/>
              </w:rPr>
            </w:pPr>
            <w:r>
              <w:rPr>
                <w:b/>
                <w:bCs/>
                <w:color w:val="auto"/>
                <w:lang w:eastAsia="ru-RU"/>
              </w:rPr>
              <w:t> </w:t>
            </w:r>
          </w:p>
        </w:tc>
      </w:tr>
      <w:tr w:rsidR="003574FE" w14:paraId="0F2FC98F" w14:textId="77777777" w:rsidTr="00CC75D9">
        <w:tc>
          <w:tcPr>
            <w:tcW w:w="1140" w:type="dxa"/>
            <w:tcBorders>
              <w:top w:val="nil"/>
              <w:left w:val="nil"/>
              <w:bottom w:val="single" w:sz="6" w:space="0" w:color="D0D0D0"/>
              <w:right w:val="nil"/>
            </w:tcBorders>
            <w:tcMar>
              <w:top w:w="75" w:type="dxa"/>
              <w:left w:w="75" w:type="dxa"/>
              <w:bottom w:w="75" w:type="dxa"/>
              <w:right w:w="75" w:type="dxa"/>
            </w:tcMar>
            <w:hideMark/>
          </w:tcPr>
          <w:p w14:paraId="5FBADE0E" w14:textId="77777777" w:rsidR="003574FE" w:rsidRDefault="003574FE" w:rsidP="00CC75D9">
            <w:pPr>
              <w:spacing w:line="256" w:lineRule="auto"/>
              <w:rPr>
                <w:b/>
                <w:bCs/>
                <w:color w:val="auto"/>
                <w:lang w:eastAsia="ru-RU"/>
              </w:rPr>
            </w:pPr>
            <w:r>
              <w:rPr>
                <w:b/>
                <w:bCs/>
                <w:color w:val="auto"/>
                <w:lang w:eastAsia="ru-RU"/>
              </w:rPr>
              <w:t>Адреса</w:t>
            </w:r>
          </w:p>
        </w:tc>
        <w:tc>
          <w:tcPr>
            <w:tcW w:w="4170" w:type="dxa"/>
            <w:tcBorders>
              <w:top w:val="nil"/>
              <w:left w:val="nil"/>
              <w:bottom w:val="single" w:sz="6" w:space="0" w:color="D0D0D0"/>
              <w:right w:val="nil"/>
            </w:tcBorders>
            <w:tcMar>
              <w:top w:w="75" w:type="dxa"/>
              <w:left w:w="75" w:type="dxa"/>
              <w:bottom w:w="75" w:type="dxa"/>
              <w:right w:w="75" w:type="dxa"/>
            </w:tcMar>
            <w:hideMark/>
          </w:tcPr>
          <w:p w14:paraId="1EE59C60" w14:textId="77777777" w:rsidR="003574FE" w:rsidRDefault="003574FE" w:rsidP="00CC75D9">
            <w:pPr>
              <w:spacing w:line="256" w:lineRule="auto"/>
              <w:rPr>
                <w:b/>
                <w:bCs/>
                <w:color w:val="auto"/>
                <w:lang w:eastAsia="ru-RU"/>
              </w:rPr>
            </w:pPr>
            <w:r>
              <w:rPr>
                <w:b/>
                <w:bCs/>
                <w:color w:val="auto"/>
                <w:lang w:eastAsia="ru-RU"/>
              </w:rPr>
              <w:t> </w:t>
            </w:r>
          </w:p>
        </w:tc>
        <w:tc>
          <w:tcPr>
            <w:tcW w:w="1230" w:type="dxa"/>
            <w:tcBorders>
              <w:top w:val="nil"/>
              <w:left w:val="nil"/>
              <w:bottom w:val="single" w:sz="6" w:space="0" w:color="D0D0D0"/>
              <w:right w:val="nil"/>
            </w:tcBorders>
            <w:tcMar>
              <w:top w:w="75" w:type="dxa"/>
              <w:left w:w="75" w:type="dxa"/>
              <w:bottom w:w="75" w:type="dxa"/>
              <w:right w:w="75" w:type="dxa"/>
            </w:tcMar>
            <w:hideMark/>
          </w:tcPr>
          <w:p w14:paraId="69ACC7D1" w14:textId="77777777" w:rsidR="003574FE" w:rsidRDefault="003574FE" w:rsidP="00CC75D9">
            <w:pPr>
              <w:spacing w:line="256" w:lineRule="auto"/>
              <w:rPr>
                <w:b/>
                <w:bCs/>
                <w:color w:val="auto"/>
                <w:lang w:eastAsia="ru-RU"/>
              </w:rPr>
            </w:pPr>
            <w:r>
              <w:rPr>
                <w:b/>
                <w:bCs/>
                <w:color w:val="auto"/>
                <w:lang w:eastAsia="ru-RU"/>
              </w:rPr>
              <w:t>Адреса</w:t>
            </w:r>
          </w:p>
        </w:tc>
        <w:tc>
          <w:tcPr>
            <w:tcW w:w="3255" w:type="dxa"/>
            <w:tcBorders>
              <w:top w:val="nil"/>
              <w:left w:val="nil"/>
              <w:bottom w:val="single" w:sz="6" w:space="0" w:color="D0D0D0"/>
              <w:right w:val="nil"/>
            </w:tcBorders>
            <w:tcMar>
              <w:top w:w="75" w:type="dxa"/>
              <w:left w:w="75" w:type="dxa"/>
              <w:bottom w:w="75" w:type="dxa"/>
              <w:right w:w="75" w:type="dxa"/>
            </w:tcMar>
            <w:hideMark/>
          </w:tcPr>
          <w:p w14:paraId="247A9EEE" w14:textId="77777777" w:rsidR="003574FE" w:rsidRDefault="003574FE" w:rsidP="00CC75D9">
            <w:pPr>
              <w:spacing w:line="256" w:lineRule="auto"/>
              <w:rPr>
                <w:b/>
                <w:bCs/>
                <w:color w:val="auto"/>
                <w:lang w:eastAsia="ru-RU"/>
              </w:rPr>
            </w:pPr>
            <w:r>
              <w:rPr>
                <w:b/>
                <w:bCs/>
                <w:color w:val="auto"/>
                <w:lang w:eastAsia="ru-RU"/>
              </w:rPr>
              <w:t> </w:t>
            </w:r>
          </w:p>
        </w:tc>
      </w:tr>
      <w:tr w:rsidR="003574FE" w14:paraId="538E342D" w14:textId="77777777" w:rsidTr="00CC75D9">
        <w:tc>
          <w:tcPr>
            <w:tcW w:w="1140" w:type="dxa"/>
            <w:tcBorders>
              <w:top w:val="nil"/>
              <w:left w:val="nil"/>
              <w:bottom w:val="single" w:sz="6" w:space="0" w:color="D0D0D0"/>
              <w:right w:val="nil"/>
            </w:tcBorders>
            <w:tcMar>
              <w:top w:w="75" w:type="dxa"/>
              <w:left w:w="75" w:type="dxa"/>
              <w:bottom w:w="75" w:type="dxa"/>
              <w:right w:w="75" w:type="dxa"/>
            </w:tcMar>
            <w:hideMark/>
          </w:tcPr>
          <w:p w14:paraId="37543629" w14:textId="77777777" w:rsidR="003574FE" w:rsidRDefault="003574FE" w:rsidP="00CC75D9">
            <w:pPr>
              <w:spacing w:line="256" w:lineRule="auto"/>
              <w:rPr>
                <w:b/>
                <w:bCs/>
                <w:color w:val="auto"/>
                <w:lang w:eastAsia="ru-RU"/>
              </w:rPr>
            </w:pPr>
            <w:r>
              <w:rPr>
                <w:b/>
                <w:bCs/>
                <w:color w:val="auto"/>
                <w:lang w:eastAsia="ru-RU"/>
              </w:rPr>
              <w:t>ЄДРПОУ</w:t>
            </w:r>
          </w:p>
        </w:tc>
        <w:tc>
          <w:tcPr>
            <w:tcW w:w="4170" w:type="dxa"/>
            <w:tcBorders>
              <w:top w:val="nil"/>
              <w:left w:val="nil"/>
              <w:bottom w:val="single" w:sz="6" w:space="0" w:color="D0D0D0"/>
              <w:right w:val="nil"/>
            </w:tcBorders>
            <w:tcMar>
              <w:top w:w="75" w:type="dxa"/>
              <w:left w:w="75" w:type="dxa"/>
              <w:bottom w:w="75" w:type="dxa"/>
              <w:right w:w="75" w:type="dxa"/>
            </w:tcMar>
            <w:hideMark/>
          </w:tcPr>
          <w:p w14:paraId="34AE9A1D" w14:textId="77777777" w:rsidR="003574FE" w:rsidRDefault="003574FE" w:rsidP="00CC75D9">
            <w:pPr>
              <w:spacing w:line="256" w:lineRule="auto"/>
              <w:rPr>
                <w:b/>
                <w:bCs/>
                <w:color w:val="auto"/>
                <w:lang w:eastAsia="ru-RU"/>
              </w:rPr>
            </w:pPr>
            <w:r>
              <w:rPr>
                <w:b/>
                <w:bCs/>
                <w:color w:val="auto"/>
                <w:lang w:eastAsia="ru-RU"/>
              </w:rPr>
              <w:t> </w:t>
            </w:r>
          </w:p>
        </w:tc>
        <w:tc>
          <w:tcPr>
            <w:tcW w:w="1230" w:type="dxa"/>
            <w:tcBorders>
              <w:top w:val="nil"/>
              <w:left w:val="nil"/>
              <w:bottom w:val="single" w:sz="6" w:space="0" w:color="D0D0D0"/>
              <w:right w:val="nil"/>
            </w:tcBorders>
            <w:tcMar>
              <w:top w:w="75" w:type="dxa"/>
              <w:left w:w="75" w:type="dxa"/>
              <w:bottom w:w="75" w:type="dxa"/>
              <w:right w:w="75" w:type="dxa"/>
            </w:tcMar>
            <w:hideMark/>
          </w:tcPr>
          <w:p w14:paraId="295B0E7F" w14:textId="77777777" w:rsidR="003574FE" w:rsidRDefault="003574FE" w:rsidP="00CC75D9">
            <w:pPr>
              <w:spacing w:line="256" w:lineRule="auto"/>
              <w:rPr>
                <w:b/>
                <w:bCs/>
                <w:color w:val="auto"/>
                <w:lang w:eastAsia="ru-RU"/>
              </w:rPr>
            </w:pPr>
            <w:r>
              <w:rPr>
                <w:b/>
                <w:bCs/>
                <w:color w:val="auto"/>
                <w:lang w:eastAsia="ru-RU"/>
              </w:rPr>
              <w:t>ЄДРПОУ</w:t>
            </w:r>
          </w:p>
        </w:tc>
        <w:tc>
          <w:tcPr>
            <w:tcW w:w="3255" w:type="dxa"/>
            <w:tcBorders>
              <w:top w:val="nil"/>
              <w:left w:val="nil"/>
              <w:bottom w:val="single" w:sz="6" w:space="0" w:color="D0D0D0"/>
              <w:right w:val="nil"/>
            </w:tcBorders>
            <w:tcMar>
              <w:top w:w="75" w:type="dxa"/>
              <w:left w:w="75" w:type="dxa"/>
              <w:bottom w:w="75" w:type="dxa"/>
              <w:right w:w="75" w:type="dxa"/>
            </w:tcMar>
            <w:hideMark/>
          </w:tcPr>
          <w:p w14:paraId="2547EE50" w14:textId="77777777" w:rsidR="003574FE" w:rsidRDefault="003574FE" w:rsidP="00CC75D9">
            <w:pPr>
              <w:spacing w:line="256" w:lineRule="auto"/>
              <w:rPr>
                <w:b/>
                <w:bCs/>
                <w:color w:val="auto"/>
                <w:lang w:eastAsia="ru-RU"/>
              </w:rPr>
            </w:pPr>
            <w:r>
              <w:rPr>
                <w:b/>
                <w:bCs/>
                <w:color w:val="auto"/>
                <w:lang w:eastAsia="ru-RU"/>
              </w:rPr>
              <w:t> </w:t>
            </w:r>
          </w:p>
        </w:tc>
      </w:tr>
      <w:tr w:rsidR="003574FE" w14:paraId="50C28BBC" w14:textId="77777777" w:rsidTr="00CC75D9">
        <w:tc>
          <w:tcPr>
            <w:tcW w:w="1140" w:type="dxa"/>
            <w:tcBorders>
              <w:top w:val="nil"/>
              <w:left w:val="nil"/>
              <w:bottom w:val="single" w:sz="6" w:space="0" w:color="D0D0D0"/>
              <w:right w:val="nil"/>
            </w:tcBorders>
            <w:tcMar>
              <w:top w:w="75" w:type="dxa"/>
              <w:left w:w="75" w:type="dxa"/>
              <w:bottom w:w="75" w:type="dxa"/>
              <w:right w:w="75" w:type="dxa"/>
            </w:tcMar>
            <w:hideMark/>
          </w:tcPr>
          <w:p w14:paraId="11747645" w14:textId="77777777" w:rsidR="003574FE" w:rsidRDefault="003574FE" w:rsidP="00CC75D9">
            <w:pPr>
              <w:spacing w:line="256" w:lineRule="auto"/>
              <w:rPr>
                <w:rFonts w:eastAsiaTheme="minorHAnsi"/>
                <w:b/>
                <w:bCs/>
                <w:color w:val="auto"/>
                <w:lang w:val="ru-RU" w:eastAsia="en-US"/>
              </w:rPr>
            </w:pPr>
          </w:p>
        </w:tc>
        <w:tc>
          <w:tcPr>
            <w:tcW w:w="4170" w:type="dxa"/>
            <w:tcBorders>
              <w:top w:val="nil"/>
              <w:left w:val="nil"/>
              <w:bottom w:val="single" w:sz="6" w:space="0" w:color="D0D0D0"/>
              <w:right w:val="nil"/>
            </w:tcBorders>
            <w:tcMar>
              <w:top w:w="75" w:type="dxa"/>
              <w:left w:w="75" w:type="dxa"/>
              <w:bottom w:w="75" w:type="dxa"/>
              <w:right w:w="75" w:type="dxa"/>
            </w:tcMar>
            <w:hideMark/>
          </w:tcPr>
          <w:p w14:paraId="3BE9F954" w14:textId="77777777" w:rsidR="003574FE" w:rsidRDefault="003574FE" w:rsidP="00CC75D9">
            <w:pPr>
              <w:spacing w:line="256" w:lineRule="auto"/>
              <w:rPr>
                <w:b/>
                <w:bCs/>
                <w:color w:val="auto"/>
                <w:lang w:eastAsia="ru-RU"/>
              </w:rPr>
            </w:pPr>
            <w:r>
              <w:rPr>
                <w:b/>
                <w:bCs/>
                <w:color w:val="auto"/>
                <w:lang w:eastAsia="ru-RU"/>
              </w:rPr>
              <w:t> </w:t>
            </w:r>
          </w:p>
        </w:tc>
        <w:tc>
          <w:tcPr>
            <w:tcW w:w="1230" w:type="dxa"/>
            <w:tcBorders>
              <w:top w:val="nil"/>
              <w:left w:val="nil"/>
              <w:bottom w:val="single" w:sz="6" w:space="0" w:color="D0D0D0"/>
              <w:right w:val="nil"/>
            </w:tcBorders>
            <w:tcMar>
              <w:top w:w="75" w:type="dxa"/>
              <w:left w:w="75" w:type="dxa"/>
              <w:bottom w:w="75" w:type="dxa"/>
              <w:right w:w="75" w:type="dxa"/>
            </w:tcMar>
            <w:hideMark/>
          </w:tcPr>
          <w:p w14:paraId="1A0ED134" w14:textId="77777777" w:rsidR="003574FE" w:rsidRDefault="003574FE" w:rsidP="00CC75D9">
            <w:pPr>
              <w:spacing w:line="256" w:lineRule="auto"/>
              <w:rPr>
                <w:rFonts w:eastAsiaTheme="minorHAnsi"/>
                <w:b/>
                <w:bCs/>
                <w:color w:val="auto"/>
                <w:lang w:val="ru-RU" w:eastAsia="en-US"/>
              </w:rPr>
            </w:pPr>
          </w:p>
        </w:tc>
        <w:tc>
          <w:tcPr>
            <w:tcW w:w="3255" w:type="dxa"/>
            <w:tcBorders>
              <w:top w:val="nil"/>
              <w:left w:val="nil"/>
              <w:bottom w:val="single" w:sz="6" w:space="0" w:color="D0D0D0"/>
              <w:right w:val="nil"/>
            </w:tcBorders>
            <w:tcMar>
              <w:top w:w="75" w:type="dxa"/>
              <w:left w:w="75" w:type="dxa"/>
              <w:bottom w:w="75" w:type="dxa"/>
              <w:right w:w="75" w:type="dxa"/>
            </w:tcMar>
            <w:hideMark/>
          </w:tcPr>
          <w:p w14:paraId="457C6885" w14:textId="77777777" w:rsidR="003574FE" w:rsidRDefault="003574FE" w:rsidP="00CC75D9">
            <w:pPr>
              <w:spacing w:line="256" w:lineRule="auto"/>
              <w:rPr>
                <w:b/>
                <w:bCs/>
                <w:color w:val="auto"/>
                <w:lang w:eastAsia="ru-RU"/>
              </w:rPr>
            </w:pPr>
            <w:r>
              <w:rPr>
                <w:b/>
                <w:bCs/>
                <w:color w:val="auto"/>
                <w:lang w:eastAsia="ru-RU"/>
              </w:rPr>
              <w:t> </w:t>
            </w:r>
          </w:p>
        </w:tc>
      </w:tr>
      <w:tr w:rsidR="003574FE" w14:paraId="76F75E8E" w14:textId="77777777" w:rsidTr="00CC75D9">
        <w:tc>
          <w:tcPr>
            <w:tcW w:w="1140" w:type="dxa"/>
            <w:tcBorders>
              <w:top w:val="nil"/>
              <w:left w:val="nil"/>
              <w:bottom w:val="single" w:sz="6" w:space="0" w:color="D0D0D0"/>
              <w:right w:val="nil"/>
            </w:tcBorders>
            <w:tcMar>
              <w:top w:w="75" w:type="dxa"/>
              <w:left w:w="75" w:type="dxa"/>
              <w:bottom w:w="75" w:type="dxa"/>
              <w:right w:w="75" w:type="dxa"/>
            </w:tcMar>
            <w:hideMark/>
          </w:tcPr>
          <w:p w14:paraId="527787D5" w14:textId="77777777" w:rsidR="003574FE" w:rsidRDefault="003574FE" w:rsidP="00CC75D9">
            <w:pPr>
              <w:spacing w:line="256" w:lineRule="auto"/>
              <w:rPr>
                <w:rFonts w:eastAsiaTheme="minorHAnsi"/>
                <w:b/>
                <w:bCs/>
                <w:color w:val="auto"/>
                <w:lang w:val="ru-RU" w:eastAsia="en-US"/>
              </w:rPr>
            </w:pPr>
          </w:p>
        </w:tc>
        <w:tc>
          <w:tcPr>
            <w:tcW w:w="4170" w:type="dxa"/>
            <w:tcBorders>
              <w:top w:val="nil"/>
              <w:left w:val="nil"/>
              <w:bottom w:val="single" w:sz="6" w:space="0" w:color="D0D0D0"/>
              <w:right w:val="nil"/>
            </w:tcBorders>
            <w:tcMar>
              <w:top w:w="75" w:type="dxa"/>
              <w:left w:w="75" w:type="dxa"/>
              <w:bottom w:w="75" w:type="dxa"/>
              <w:right w:w="75" w:type="dxa"/>
            </w:tcMar>
            <w:hideMark/>
          </w:tcPr>
          <w:p w14:paraId="4EA2DCBB" w14:textId="77777777" w:rsidR="003574FE" w:rsidRDefault="003574FE" w:rsidP="00CC75D9">
            <w:pPr>
              <w:spacing w:line="256" w:lineRule="auto"/>
              <w:rPr>
                <w:b/>
                <w:bCs/>
                <w:color w:val="auto"/>
                <w:lang w:eastAsia="ru-RU"/>
              </w:rPr>
            </w:pPr>
            <w:r>
              <w:rPr>
                <w:b/>
                <w:bCs/>
                <w:color w:val="auto"/>
                <w:lang w:eastAsia="ru-RU"/>
              </w:rPr>
              <w:t> </w:t>
            </w:r>
          </w:p>
        </w:tc>
        <w:tc>
          <w:tcPr>
            <w:tcW w:w="1230" w:type="dxa"/>
            <w:tcBorders>
              <w:top w:val="nil"/>
              <w:left w:val="nil"/>
              <w:bottom w:val="single" w:sz="6" w:space="0" w:color="D0D0D0"/>
              <w:right w:val="nil"/>
            </w:tcBorders>
            <w:tcMar>
              <w:top w:w="75" w:type="dxa"/>
              <w:left w:w="75" w:type="dxa"/>
              <w:bottom w:w="75" w:type="dxa"/>
              <w:right w:w="75" w:type="dxa"/>
            </w:tcMar>
            <w:hideMark/>
          </w:tcPr>
          <w:p w14:paraId="58FAD06B" w14:textId="77777777" w:rsidR="003574FE" w:rsidRDefault="003574FE" w:rsidP="00CC75D9">
            <w:pPr>
              <w:spacing w:line="256" w:lineRule="auto"/>
              <w:rPr>
                <w:rFonts w:eastAsiaTheme="minorHAnsi"/>
                <w:b/>
                <w:bCs/>
                <w:color w:val="auto"/>
                <w:lang w:val="ru-RU" w:eastAsia="en-US"/>
              </w:rPr>
            </w:pPr>
          </w:p>
        </w:tc>
        <w:tc>
          <w:tcPr>
            <w:tcW w:w="3255" w:type="dxa"/>
            <w:tcBorders>
              <w:top w:val="nil"/>
              <w:left w:val="nil"/>
              <w:bottom w:val="single" w:sz="6" w:space="0" w:color="D0D0D0"/>
              <w:right w:val="nil"/>
            </w:tcBorders>
            <w:tcMar>
              <w:top w:w="75" w:type="dxa"/>
              <w:left w:w="75" w:type="dxa"/>
              <w:bottom w:w="75" w:type="dxa"/>
              <w:right w:w="75" w:type="dxa"/>
            </w:tcMar>
            <w:hideMark/>
          </w:tcPr>
          <w:p w14:paraId="291A7496" w14:textId="77777777" w:rsidR="003574FE" w:rsidRDefault="003574FE" w:rsidP="00CC75D9">
            <w:pPr>
              <w:spacing w:line="256" w:lineRule="auto"/>
              <w:rPr>
                <w:b/>
                <w:bCs/>
                <w:color w:val="auto"/>
                <w:lang w:eastAsia="ru-RU"/>
              </w:rPr>
            </w:pPr>
            <w:r>
              <w:rPr>
                <w:b/>
                <w:bCs/>
                <w:color w:val="auto"/>
                <w:lang w:eastAsia="ru-RU"/>
              </w:rPr>
              <w:t> </w:t>
            </w:r>
          </w:p>
        </w:tc>
      </w:tr>
      <w:tr w:rsidR="003574FE" w14:paraId="58C98049" w14:textId="77777777" w:rsidTr="00CC75D9">
        <w:tc>
          <w:tcPr>
            <w:tcW w:w="1140" w:type="dxa"/>
            <w:tcBorders>
              <w:top w:val="nil"/>
              <w:left w:val="nil"/>
              <w:bottom w:val="single" w:sz="6" w:space="0" w:color="D0D0D0"/>
              <w:right w:val="nil"/>
            </w:tcBorders>
            <w:tcMar>
              <w:top w:w="75" w:type="dxa"/>
              <w:left w:w="75" w:type="dxa"/>
              <w:bottom w:w="75" w:type="dxa"/>
              <w:right w:w="75" w:type="dxa"/>
            </w:tcMar>
            <w:hideMark/>
          </w:tcPr>
          <w:p w14:paraId="0AF3530B" w14:textId="77777777" w:rsidR="003574FE" w:rsidRDefault="003574FE" w:rsidP="00CC75D9">
            <w:pPr>
              <w:spacing w:line="256" w:lineRule="auto"/>
              <w:rPr>
                <w:rFonts w:eastAsiaTheme="minorHAnsi"/>
                <w:b/>
                <w:bCs/>
                <w:color w:val="auto"/>
                <w:lang w:val="ru-RU" w:eastAsia="en-US"/>
              </w:rPr>
            </w:pPr>
          </w:p>
        </w:tc>
        <w:tc>
          <w:tcPr>
            <w:tcW w:w="4170" w:type="dxa"/>
            <w:tcBorders>
              <w:top w:val="nil"/>
              <w:left w:val="nil"/>
              <w:bottom w:val="single" w:sz="6" w:space="0" w:color="D0D0D0"/>
              <w:right w:val="nil"/>
            </w:tcBorders>
            <w:tcMar>
              <w:top w:w="75" w:type="dxa"/>
              <w:left w:w="75" w:type="dxa"/>
              <w:bottom w:w="75" w:type="dxa"/>
              <w:right w:w="75" w:type="dxa"/>
            </w:tcMar>
            <w:hideMark/>
          </w:tcPr>
          <w:p w14:paraId="33C57E60" w14:textId="77777777" w:rsidR="003574FE" w:rsidRDefault="003574FE" w:rsidP="00CC75D9">
            <w:pPr>
              <w:spacing w:line="256" w:lineRule="auto"/>
              <w:rPr>
                <w:b/>
                <w:bCs/>
                <w:color w:val="auto"/>
                <w:lang w:eastAsia="ru-RU"/>
              </w:rPr>
            </w:pPr>
            <w:r>
              <w:rPr>
                <w:b/>
                <w:bCs/>
                <w:color w:val="auto"/>
                <w:lang w:eastAsia="ru-RU"/>
              </w:rPr>
              <w:t> </w:t>
            </w:r>
          </w:p>
        </w:tc>
        <w:tc>
          <w:tcPr>
            <w:tcW w:w="1230" w:type="dxa"/>
            <w:tcBorders>
              <w:top w:val="nil"/>
              <w:left w:val="nil"/>
              <w:bottom w:val="single" w:sz="6" w:space="0" w:color="D0D0D0"/>
              <w:right w:val="nil"/>
            </w:tcBorders>
            <w:tcMar>
              <w:top w:w="75" w:type="dxa"/>
              <w:left w:w="75" w:type="dxa"/>
              <w:bottom w:w="75" w:type="dxa"/>
              <w:right w:w="75" w:type="dxa"/>
            </w:tcMar>
            <w:hideMark/>
          </w:tcPr>
          <w:p w14:paraId="3A8DF740" w14:textId="77777777" w:rsidR="003574FE" w:rsidRDefault="003574FE" w:rsidP="00CC75D9">
            <w:pPr>
              <w:spacing w:line="256" w:lineRule="auto"/>
              <w:rPr>
                <w:rFonts w:eastAsiaTheme="minorHAnsi"/>
                <w:b/>
                <w:bCs/>
                <w:color w:val="auto"/>
                <w:lang w:val="ru-RU" w:eastAsia="en-US"/>
              </w:rPr>
            </w:pPr>
          </w:p>
        </w:tc>
        <w:tc>
          <w:tcPr>
            <w:tcW w:w="3255" w:type="dxa"/>
            <w:tcBorders>
              <w:top w:val="nil"/>
              <w:left w:val="nil"/>
              <w:bottom w:val="single" w:sz="6" w:space="0" w:color="D0D0D0"/>
              <w:right w:val="nil"/>
            </w:tcBorders>
            <w:tcMar>
              <w:top w:w="75" w:type="dxa"/>
              <w:left w:w="75" w:type="dxa"/>
              <w:bottom w:w="75" w:type="dxa"/>
              <w:right w:w="75" w:type="dxa"/>
            </w:tcMar>
            <w:hideMark/>
          </w:tcPr>
          <w:p w14:paraId="73532BF0" w14:textId="77777777" w:rsidR="003574FE" w:rsidRDefault="003574FE" w:rsidP="00CC75D9">
            <w:pPr>
              <w:spacing w:line="256" w:lineRule="auto"/>
              <w:rPr>
                <w:b/>
                <w:bCs/>
                <w:color w:val="auto"/>
                <w:lang w:eastAsia="ru-RU"/>
              </w:rPr>
            </w:pPr>
            <w:r>
              <w:rPr>
                <w:b/>
                <w:bCs/>
                <w:color w:val="auto"/>
                <w:lang w:eastAsia="ru-RU"/>
              </w:rPr>
              <w:t> </w:t>
            </w:r>
          </w:p>
        </w:tc>
      </w:tr>
    </w:tbl>
    <w:p w14:paraId="454B5227" w14:textId="77777777" w:rsidR="003574FE" w:rsidRDefault="003574FE" w:rsidP="003574FE">
      <w:pPr>
        <w:spacing w:before="100" w:beforeAutospacing="1" w:after="100" w:afterAutospacing="1"/>
        <w:textAlignment w:val="baseline"/>
        <w:rPr>
          <w:color w:val="auto"/>
          <w:lang w:eastAsia="ru-RU"/>
        </w:rPr>
      </w:pPr>
      <w:r>
        <w:rPr>
          <w:color w:val="auto"/>
          <w:lang w:eastAsia="ru-RU"/>
        </w:rPr>
        <w:t>_____________/ _______________/                       ___________/</w:t>
      </w:r>
      <w:r>
        <w:rPr>
          <w:color w:val="auto"/>
          <w:bdr w:val="none" w:sz="0" w:space="0" w:color="auto" w:frame="1"/>
          <w:lang w:eastAsia="ru-RU"/>
        </w:rPr>
        <w:t>_______________/</w:t>
      </w:r>
    </w:p>
    <w:p w14:paraId="759B6FA4" w14:textId="77777777" w:rsidR="003574FE" w:rsidRDefault="003574FE" w:rsidP="003574FE">
      <w:pPr>
        <w:spacing w:before="100" w:beforeAutospacing="1" w:after="100" w:afterAutospacing="1"/>
        <w:textAlignment w:val="baseline"/>
        <w:rPr>
          <w:color w:val="auto"/>
          <w:lang w:eastAsia="ru-RU"/>
        </w:rPr>
      </w:pPr>
      <w:r>
        <w:rPr>
          <w:color w:val="auto"/>
          <w:lang w:eastAsia="ru-RU"/>
        </w:rPr>
        <w:t> </w:t>
      </w:r>
    </w:p>
    <w:p w14:paraId="6716DFBC" w14:textId="77777777" w:rsidR="003574FE" w:rsidRDefault="003574FE" w:rsidP="003574FE">
      <w:pPr>
        <w:spacing w:after="160" w:line="256" w:lineRule="auto"/>
        <w:rPr>
          <w:rFonts w:eastAsiaTheme="minorHAnsi"/>
          <w:color w:val="auto"/>
          <w:lang w:eastAsia="en-US"/>
        </w:rPr>
      </w:pPr>
    </w:p>
    <w:p w14:paraId="7392248F" w14:textId="77777777" w:rsidR="003574FE" w:rsidRDefault="003574FE" w:rsidP="003574FE"/>
    <w:p w14:paraId="4891660E" w14:textId="77777777" w:rsidR="003574FE" w:rsidRDefault="003574FE" w:rsidP="003574FE"/>
    <w:p w14:paraId="0D04F457" w14:textId="77777777" w:rsidR="003574FE" w:rsidRDefault="003574FE" w:rsidP="003574FE">
      <w:pPr>
        <w:jc w:val="right"/>
      </w:pPr>
    </w:p>
    <w:p w14:paraId="121E6B80" w14:textId="77777777" w:rsidR="003574FE" w:rsidRDefault="003574FE" w:rsidP="003574FE">
      <w:pPr>
        <w:jc w:val="right"/>
      </w:pPr>
    </w:p>
    <w:p w14:paraId="340EC253" w14:textId="77777777" w:rsidR="003574FE" w:rsidRDefault="003574FE" w:rsidP="003574FE">
      <w:pPr>
        <w:jc w:val="right"/>
      </w:pPr>
    </w:p>
    <w:p w14:paraId="130F27E0"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12C"/>
    <w:multiLevelType w:val="multilevel"/>
    <w:tmpl w:val="254AF52C"/>
    <w:lvl w:ilvl="0">
      <w:start w:val="1"/>
      <w:numFmt w:val="decimal"/>
      <w:lvlText w:val="2.1. %1"/>
      <w:lvlJc w:val="left"/>
      <w:pPr>
        <w:ind w:left="360" w:hanging="360"/>
      </w:pPr>
      <w:rPr>
        <w:sz w:val="28"/>
        <w:szCs w:val="28"/>
      </w:r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rPr>
        <w:sz w:val="20"/>
      </w:rPr>
    </w:lvl>
    <w:lvl w:ilvl="4">
      <w:start w:val="1"/>
      <w:numFmt w:val="decimal"/>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06"/>
    <w:rsid w:val="003574FE"/>
    <w:rsid w:val="00665237"/>
    <w:rsid w:val="0078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C1DDA-994E-4D67-A03C-91E1A36A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4FE"/>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2021-03-04T08:19:00Z</dcterms:created>
  <dcterms:modified xsi:type="dcterms:W3CDTF">2021-03-04T08:19:00Z</dcterms:modified>
</cp:coreProperties>
</file>