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 xml:space="preserve">І </w:t>
      </w:r>
      <w:r w:rsidR="003977F7">
        <w:rPr>
          <w:b/>
        </w:rPr>
        <w:t>півріччя</w:t>
      </w:r>
      <w:r w:rsidR="00320701">
        <w:rPr>
          <w:b/>
        </w:rPr>
        <w:t xml:space="preserve">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</w:t>
      </w:r>
      <w:r w:rsidR="003977F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І </w:t>
      </w:r>
      <w:r w:rsidR="003977F7">
        <w:rPr>
          <w:rFonts w:ascii="Times New Roman" w:hAnsi="Times New Roman"/>
          <w:sz w:val="28"/>
          <w:szCs w:val="28"/>
          <w:u w:val="single"/>
        </w:rPr>
        <w:t>півріччя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77F7">
        <w:rPr>
          <w:rFonts w:ascii="Times New Roman" w:hAnsi="Times New Roman"/>
          <w:sz w:val="28"/>
          <w:szCs w:val="28"/>
          <w:u w:val="single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0D5883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83">
        <w:rPr>
          <w:rFonts w:ascii="Times New Roman" w:hAnsi="Times New Roman"/>
          <w:sz w:val="28"/>
          <w:szCs w:val="28"/>
        </w:rPr>
        <w:t xml:space="preserve">Згідно аналізу виконання плану по доходах бюджету Степанківської сільської територіальної громади за І </w:t>
      </w:r>
      <w:r w:rsidR="000D5883" w:rsidRP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1932A2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 w:rsidRPr="000D5883">
        <w:rPr>
          <w:rFonts w:ascii="Times New Roman" w:hAnsi="Times New Roman"/>
          <w:sz w:val="28"/>
          <w:szCs w:val="28"/>
        </w:rPr>
        <w:t>сільської</w:t>
      </w:r>
      <w:r w:rsidRPr="000D5883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5549C7" w:rsidRPr="005549C7">
        <w:rPr>
          <w:rFonts w:ascii="Times New Roman" w:hAnsi="Times New Roman"/>
          <w:sz w:val="28"/>
          <w:szCs w:val="28"/>
        </w:rPr>
        <w:t>31830525</w:t>
      </w:r>
      <w:r w:rsidRPr="005549C7">
        <w:rPr>
          <w:rFonts w:ascii="Times New Roman" w:hAnsi="Times New Roman"/>
          <w:sz w:val="28"/>
          <w:szCs w:val="28"/>
        </w:rPr>
        <w:t xml:space="preserve">грн, </w:t>
      </w:r>
      <w:r w:rsidRPr="000D5883">
        <w:rPr>
          <w:rFonts w:ascii="Times New Roman" w:hAnsi="Times New Roman"/>
          <w:sz w:val="28"/>
          <w:szCs w:val="28"/>
        </w:rPr>
        <w:t>в тому числі по заг</w:t>
      </w:r>
      <w:r w:rsidR="00776658" w:rsidRPr="000D5883">
        <w:rPr>
          <w:rFonts w:ascii="Times New Roman" w:hAnsi="Times New Roman"/>
          <w:sz w:val="28"/>
          <w:szCs w:val="28"/>
        </w:rPr>
        <w:t xml:space="preserve">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30250232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1580293</w:t>
      </w:r>
      <w:r w:rsidRPr="000D5883">
        <w:rPr>
          <w:rFonts w:ascii="Times New Roman" w:hAnsi="Times New Roman"/>
          <w:sz w:val="28"/>
          <w:szCs w:val="28"/>
        </w:rPr>
        <w:t xml:space="preserve"> грн. Фактично надійшло доходів за І </w:t>
      </w:r>
      <w:r w:rsidR="000D5883" w:rsidRP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76658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</w:t>
      </w:r>
      <w:r w:rsidR="00776658" w:rsidRPr="000D5883">
        <w:rPr>
          <w:rFonts w:ascii="Times New Roman" w:hAnsi="Times New Roman"/>
          <w:sz w:val="28"/>
          <w:szCs w:val="28"/>
        </w:rPr>
        <w:t xml:space="preserve">у всього </w:t>
      </w:r>
      <w:r w:rsidR="00776658" w:rsidRPr="005549C7">
        <w:rPr>
          <w:rFonts w:ascii="Times New Roman" w:hAnsi="Times New Roman"/>
          <w:sz w:val="28"/>
          <w:szCs w:val="28"/>
        </w:rPr>
        <w:t>в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="00776658" w:rsidRPr="005549C7">
        <w:rPr>
          <w:rFonts w:ascii="Times New Roman" w:hAnsi="Times New Roman"/>
          <w:sz w:val="28"/>
          <w:szCs w:val="28"/>
        </w:rPr>
        <w:t xml:space="preserve"> сумі </w:t>
      </w:r>
      <w:r w:rsidR="005549C7" w:rsidRPr="005549C7">
        <w:rPr>
          <w:rFonts w:ascii="Times New Roman" w:hAnsi="Times New Roman"/>
          <w:sz w:val="28"/>
          <w:szCs w:val="28"/>
        </w:rPr>
        <w:t>29956819,53</w:t>
      </w:r>
      <w:r w:rsidR="00776658" w:rsidRPr="005549C7">
        <w:rPr>
          <w:rFonts w:ascii="Times New Roman" w:hAnsi="Times New Roman"/>
          <w:sz w:val="28"/>
          <w:szCs w:val="28"/>
        </w:rPr>
        <w:t xml:space="preserve"> грн</w:t>
      </w:r>
      <w:r w:rsidRPr="005549C7">
        <w:rPr>
          <w:rFonts w:ascii="Times New Roman" w:hAnsi="Times New Roman"/>
          <w:sz w:val="28"/>
          <w:szCs w:val="28"/>
        </w:rPr>
        <w:t xml:space="preserve">, 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Pr="005549C7">
        <w:rPr>
          <w:rFonts w:ascii="Times New Roman" w:hAnsi="Times New Roman"/>
          <w:sz w:val="28"/>
          <w:szCs w:val="28"/>
        </w:rPr>
        <w:t>в тому</w:t>
      </w:r>
      <w:r w:rsidRPr="000D5883">
        <w:rPr>
          <w:rFonts w:ascii="Times New Roman" w:hAnsi="Times New Roman"/>
          <w:sz w:val="28"/>
          <w:szCs w:val="28"/>
        </w:rPr>
        <w:t xml:space="preserve"> числі по загальному фонду –</w:t>
      </w:r>
      <w:r w:rsidRPr="005549C7">
        <w:rPr>
          <w:rFonts w:ascii="Times New Roman" w:hAnsi="Times New Roman"/>
          <w:sz w:val="28"/>
          <w:szCs w:val="28"/>
        </w:rPr>
        <w:t xml:space="preserve"> </w:t>
      </w:r>
      <w:r w:rsidR="000D5883" w:rsidRPr="000D5883">
        <w:rPr>
          <w:rFonts w:ascii="Times New Roman" w:hAnsi="Times New Roman"/>
          <w:sz w:val="28"/>
          <w:szCs w:val="28"/>
        </w:rPr>
        <w:t>29482147,25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грн, що становить </w:t>
      </w:r>
      <w:r w:rsidR="000D5883" w:rsidRPr="000D5883">
        <w:rPr>
          <w:rFonts w:ascii="Times New Roman" w:hAnsi="Times New Roman"/>
          <w:sz w:val="28"/>
          <w:szCs w:val="28"/>
        </w:rPr>
        <w:t>97,46</w:t>
      </w:r>
      <w:r w:rsidRPr="000D5883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474672,28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що становить </w:t>
      </w:r>
      <w:r w:rsidR="000D5883" w:rsidRPr="000D5883">
        <w:rPr>
          <w:rFonts w:ascii="Times New Roman" w:hAnsi="Times New Roman"/>
          <w:sz w:val="28"/>
          <w:szCs w:val="28"/>
        </w:rPr>
        <w:t>30,04</w:t>
      </w:r>
      <w:r w:rsidRPr="000D5883">
        <w:rPr>
          <w:rFonts w:ascii="Times New Roman" w:hAnsi="Times New Roman"/>
          <w:sz w:val="28"/>
          <w:szCs w:val="28"/>
        </w:rPr>
        <w:t>% до уточненого плану.</w:t>
      </w:r>
    </w:p>
    <w:p w:rsidR="002F4DBF" w:rsidRPr="000D5883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883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3977F7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883">
        <w:rPr>
          <w:rFonts w:ascii="Times New Roman" w:hAnsi="Times New Roman"/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І </w:t>
      </w:r>
      <w:r w:rsid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378CD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</w:t>
      </w:r>
      <w:r w:rsidR="007378CD" w:rsidRPr="000D5883">
        <w:rPr>
          <w:rFonts w:ascii="Times New Roman" w:hAnsi="Times New Roman"/>
          <w:sz w:val="28"/>
          <w:szCs w:val="28"/>
        </w:rPr>
        <w:t xml:space="preserve">оку разом </w:t>
      </w:r>
      <w:r w:rsidR="007378CD" w:rsidRPr="00CA115A">
        <w:rPr>
          <w:rFonts w:ascii="Times New Roman" w:hAnsi="Times New Roman"/>
          <w:sz w:val="28"/>
          <w:szCs w:val="28"/>
        </w:rPr>
        <w:t xml:space="preserve">склали </w:t>
      </w:r>
      <w:r w:rsidR="000D5883" w:rsidRPr="00CA115A">
        <w:rPr>
          <w:rFonts w:ascii="Times New Roman" w:hAnsi="Times New Roman"/>
          <w:sz w:val="28"/>
          <w:szCs w:val="28"/>
        </w:rPr>
        <w:t>18011805,53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CA115A" w:rsidRPr="00CA115A">
        <w:rPr>
          <w:rFonts w:ascii="Times New Roman" w:hAnsi="Times New Roman"/>
          <w:sz w:val="28"/>
          <w:szCs w:val="28"/>
        </w:rPr>
        <w:t>90,79</w:t>
      </w:r>
      <w:r w:rsidRPr="00CA115A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0D5883" w:rsidRPr="00CA115A">
        <w:rPr>
          <w:rFonts w:ascii="Times New Roman" w:hAnsi="Times New Roman"/>
          <w:sz w:val="28"/>
          <w:szCs w:val="28"/>
        </w:rPr>
        <w:t>19839093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). Питома вага фактичних власних надходжень у бюджеті по обох фондах за І </w:t>
      </w:r>
      <w:r w:rsidR="000D5883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>ро</w:t>
      </w:r>
      <w:r w:rsidR="000D5883" w:rsidRPr="00CA115A">
        <w:rPr>
          <w:rFonts w:ascii="Times New Roman" w:hAnsi="Times New Roman"/>
          <w:sz w:val="28"/>
          <w:szCs w:val="28"/>
        </w:rPr>
        <w:t>ку</w:t>
      </w:r>
      <w:r w:rsidRPr="00CA115A">
        <w:rPr>
          <w:rFonts w:ascii="Times New Roman" w:hAnsi="Times New Roman"/>
          <w:sz w:val="28"/>
          <w:szCs w:val="28"/>
        </w:rPr>
        <w:t xml:space="preserve"> склала </w:t>
      </w:r>
      <w:r w:rsidR="00CA115A" w:rsidRPr="00CA115A">
        <w:rPr>
          <w:rFonts w:ascii="Times New Roman" w:hAnsi="Times New Roman"/>
          <w:sz w:val="28"/>
          <w:szCs w:val="28"/>
        </w:rPr>
        <w:t>59,5</w:t>
      </w:r>
      <w:r w:rsidRPr="00CA115A">
        <w:rPr>
          <w:rFonts w:ascii="Times New Roman" w:hAnsi="Times New Roman"/>
          <w:sz w:val="28"/>
          <w:szCs w:val="28"/>
        </w:rPr>
        <w:t>%.</w:t>
      </w:r>
    </w:p>
    <w:p w:rsidR="002F4DBF" w:rsidRPr="00CA115A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CA115A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115A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5A">
        <w:rPr>
          <w:rFonts w:ascii="Times New Roman" w:hAnsi="Times New Roman"/>
          <w:sz w:val="28"/>
          <w:szCs w:val="28"/>
        </w:rPr>
        <w:t xml:space="preserve">Міжбюджетні трансферти бюджету Степанківської сільської територіальної громади по загальному та спеціальному фондах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склали </w:t>
      </w:r>
      <w:r w:rsidR="00CA115A" w:rsidRPr="00CA115A">
        <w:rPr>
          <w:rFonts w:ascii="Times New Roman" w:hAnsi="Times New Roman"/>
          <w:sz w:val="28"/>
          <w:szCs w:val="28"/>
        </w:rPr>
        <w:t>11945014</w:t>
      </w:r>
      <w:r w:rsidRPr="00CA115A">
        <w:rPr>
          <w:rFonts w:ascii="Times New Roman" w:hAnsi="Times New Roman"/>
          <w:sz w:val="28"/>
          <w:szCs w:val="28"/>
        </w:rPr>
        <w:t xml:space="preserve"> грн., виконання по міжбюджетних трансфертах по фондах в цілому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CA115A" w:rsidRPr="00CA115A">
        <w:rPr>
          <w:rFonts w:ascii="Times New Roman" w:hAnsi="Times New Roman"/>
          <w:sz w:val="28"/>
          <w:szCs w:val="28"/>
        </w:rPr>
        <w:t>11991432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 становить </w:t>
      </w:r>
      <w:r w:rsidR="00CA115A" w:rsidRPr="00CA115A">
        <w:rPr>
          <w:rFonts w:ascii="Times New Roman" w:hAnsi="Times New Roman"/>
          <w:sz w:val="28"/>
          <w:szCs w:val="28"/>
        </w:rPr>
        <w:t>99,61</w:t>
      </w:r>
      <w:r w:rsidRPr="00CA115A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CA115A" w:rsidRPr="00CA115A">
        <w:rPr>
          <w:rFonts w:ascii="Times New Roman" w:hAnsi="Times New Roman"/>
          <w:sz w:val="28"/>
          <w:szCs w:val="28"/>
        </w:rPr>
        <w:t>40,5</w:t>
      </w:r>
      <w:r w:rsidRPr="00CA115A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 xml:space="preserve">ЗА І </w:t>
      </w:r>
      <w:r w:rsidR="00B2408F">
        <w:rPr>
          <w:rFonts w:ascii="Times New Roman" w:hAnsi="Times New Roman"/>
          <w:sz w:val="24"/>
          <w:szCs w:val="24"/>
        </w:rPr>
        <w:t>ПІВРІЧЧЯ</w:t>
      </w:r>
      <w:r w:rsidRPr="002F4DBF">
        <w:rPr>
          <w:rFonts w:ascii="Times New Roman" w:hAnsi="Times New Roman"/>
          <w:sz w:val="24"/>
          <w:szCs w:val="24"/>
        </w:rPr>
        <w:t xml:space="preserve"> 202</w:t>
      </w:r>
      <w:r w:rsidR="007378CD">
        <w:rPr>
          <w:rFonts w:ascii="Times New Roman" w:hAnsi="Times New Roman"/>
          <w:sz w:val="24"/>
          <w:szCs w:val="24"/>
        </w:rPr>
        <w:t>1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531A2B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За І</w:t>
      </w:r>
      <w:r w:rsidR="00EE358B" w:rsidRPr="00531A2B">
        <w:rPr>
          <w:rFonts w:ascii="Times New Roman" w:hAnsi="Times New Roman"/>
          <w:sz w:val="28"/>
          <w:szCs w:val="28"/>
        </w:rPr>
        <w:t xml:space="preserve"> півріччя</w:t>
      </w:r>
      <w:r w:rsidRPr="00531A2B">
        <w:rPr>
          <w:rFonts w:ascii="Times New Roman" w:hAnsi="Times New Roman"/>
          <w:sz w:val="28"/>
          <w:szCs w:val="28"/>
        </w:rPr>
        <w:t xml:space="preserve"> 2021</w:t>
      </w:r>
      <w:r w:rsidR="002F4DBF" w:rsidRPr="00531A2B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EE358B" w:rsidRPr="00531A2B">
        <w:rPr>
          <w:rFonts w:ascii="Times New Roman" w:hAnsi="Times New Roman"/>
          <w:sz w:val="28"/>
          <w:szCs w:val="28"/>
        </w:rPr>
        <w:t xml:space="preserve">29482147,25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="002F4DBF" w:rsidRPr="00531A2B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EE358B" w:rsidRPr="00531A2B">
        <w:rPr>
          <w:rFonts w:ascii="Times New Roman" w:hAnsi="Times New Roman"/>
          <w:sz w:val="28"/>
          <w:szCs w:val="28"/>
        </w:rPr>
        <w:t>17537133,25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Pr="00531A2B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EE358B" w:rsidRPr="00531A2B">
        <w:rPr>
          <w:rFonts w:ascii="Times New Roman" w:hAnsi="Times New Roman"/>
          <w:sz w:val="28"/>
          <w:szCs w:val="28"/>
        </w:rPr>
        <w:t>96,05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EE358B" w:rsidRPr="00531A2B">
        <w:rPr>
          <w:rFonts w:ascii="Times New Roman" w:hAnsi="Times New Roman"/>
          <w:sz w:val="28"/>
          <w:szCs w:val="28"/>
        </w:rPr>
        <w:t>18258800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</w:t>
      </w:r>
      <w:r w:rsidR="006F0A44" w:rsidRPr="00531A2B">
        <w:rPr>
          <w:rFonts w:ascii="Times New Roman" w:hAnsi="Times New Roman"/>
          <w:sz w:val="28"/>
          <w:szCs w:val="28"/>
        </w:rPr>
        <w:t>недови</w:t>
      </w:r>
      <w:r w:rsidRPr="00531A2B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EE358B" w:rsidRPr="00531A2B">
        <w:rPr>
          <w:rFonts w:ascii="Times New Roman" w:hAnsi="Times New Roman"/>
          <w:sz w:val="28"/>
          <w:szCs w:val="28"/>
        </w:rPr>
        <w:t>721666,75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EE358B" w:rsidRPr="00531A2B">
        <w:rPr>
          <w:rFonts w:ascii="Times New Roman" w:hAnsi="Times New Roman"/>
          <w:sz w:val="28"/>
          <w:szCs w:val="28"/>
        </w:rPr>
        <w:t>59,48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І </w:t>
      </w:r>
      <w:r w:rsidR="00EE358B" w:rsidRPr="00531A2B">
        <w:rPr>
          <w:rFonts w:ascii="Times New Roman" w:hAnsi="Times New Roman"/>
          <w:sz w:val="28"/>
          <w:szCs w:val="28"/>
        </w:rPr>
        <w:t>півріччя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6F0A44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EE358B" w:rsidRPr="00531A2B">
        <w:rPr>
          <w:rFonts w:ascii="Times New Roman" w:hAnsi="Times New Roman"/>
          <w:sz w:val="28"/>
          <w:szCs w:val="28"/>
        </w:rPr>
        <w:t>5319262</w:t>
      </w:r>
      <w:r w:rsidR="00A52861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EE358B" w:rsidRPr="00531A2B">
        <w:rPr>
          <w:rFonts w:ascii="Times New Roman" w:hAnsi="Times New Roman"/>
          <w:sz w:val="28"/>
          <w:szCs w:val="28"/>
        </w:rPr>
        <w:t>30,33</w:t>
      </w:r>
      <w:r w:rsidR="00A52861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;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міжбюдже</w:t>
      </w:r>
      <w:r w:rsidR="00A52861" w:rsidRPr="00531A2B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EE358B" w:rsidRPr="00531A2B">
        <w:rPr>
          <w:rFonts w:ascii="Times New Roman" w:hAnsi="Times New Roman"/>
          <w:sz w:val="28"/>
          <w:szCs w:val="28"/>
        </w:rPr>
        <w:t>11945014</w:t>
      </w:r>
      <w:r w:rsidRPr="00531A2B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531A2B" w:rsidRPr="00531A2B">
        <w:rPr>
          <w:rFonts w:ascii="Times New Roman" w:hAnsi="Times New Roman"/>
          <w:sz w:val="28"/>
          <w:szCs w:val="28"/>
        </w:rPr>
        <w:t>99,61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531A2B" w:rsidRPr="00531A2B">
        <w:rPr>
          <w:rFonts w:ascii="Times New Roman" w:hAnsi="Times New Roman"/>
          <w:sz w:val="28"/>
          <w:szCs w:val="28"/>
        </w:rPr>
        <w:t>11991432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531A2B" w:rsidRPr="00531A2B">
        <w:rPr>
          <w:rFonts w:ascii="Times New Roman" w:hAnsi="Times New Roman"/>
          <w:sz w:val="28"/>
          <w:szCs w:val="28"/>
        </w:rPr>
        <w:t>46418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>40,52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І </w:t>
      </w:r>
      <w:r w:rsidR="00531A2B" w:rsidRPr="00531A2B">
        <w:rPr>
          <w:rFonts w:ascii="Times New Roman" w:hAnsi="Times New Roman"/>
          <w:sz w:val="28"/>
          <w:szCs w:val="28"/>
        </w:rPr>
        <w:t>півріччя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F43583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 xml:space="preserve">збільшились </w:t>
      </w:r>
      <w:r w:rsidRPr="00531A2B">
        <w:rPr>
          <w:rFonts w:ascii="Times New Roman" w:hAnsi="Times New Roman"/>
          <w:sz w:val="28"/>
          <w:szCs w:val="28"/>
        </w:rPr>
        <w:t xml:space="preserve">на </w:t>
      </w:r>
      <w:r w:rsidR="00531A2B" w:rsidRPr="00531A2B">
        <w:rPr>
          <w:rFonts w:ascii="Times New Roman" w:hAnsi="Times New Roman"/>
          <w:sz w:val="28"/>
          <w:szCs w:val="28"/>
        </w:rPr>
        <w:t>1062525</w:t>
      </w:r>
      <w:r w:rsidR="00C601A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531A2B" w:rsidRPr="00531A2B">
        <w:rPr>
          <w:rFonts w:ascii="Times New Roman" w:hAnsi="Times New Roman"/>
          <w:sz w:val="28"/>
          <w:szCs w:val="28"/>
        </w:rPr>
        <w:t>8,89</w:t>
      </w:r>
      <w:r w:rsidR="00C601A3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 xml:space="preserve">ЗА І </w:t>
      </w:r>
      <w:r w:rsidR="00B2408F">
        <w:rPr>
          <w:rFonts w:ascii="Times New Roman" w:hAnsi="Times New Roman"/>
          <w:sz w:val="24"/>
          <w:szCs w:val="24"/>
        </w:rPr>
        <w:t>ПІВРІЧЧЯ</w:t>
      </w:r>
      <w:r w:rsidRPr="002F4DBF">
        <w:rPr>
          <w:rFonts w:ascii="Times New Roman" w:hAnsi="Times New Roman"/>
          <w:sz w:val="24"/>
          <w:szCs w:val="24"/>
        </w:rPr>
        <w:t xml:space="preserve">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D3CF6B5" wp14:editId="56D17F14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 wp14:anchorId="3E050FE3" wp14:editId="633F4756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сумі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17537133,25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96,05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%. Фактично отримані до бюджету власні та закріплені надходження за 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та збору на доходи фізичних осіб за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1 року склали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10406311,37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91,78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11338280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931968,63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59,34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CB79B5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більшились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2785054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92" w:type="dxa"/>
          </w:tcPr>
          <w:p w:rsidR="002F4DBF" w:rsidRPr="00E020EF" w:rsidRDefault="00E020E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  <w:r w:rsidRPr="00E020EF">
              <w:rPr>
                <w:rFonts w:ascii="Times New Roman" w:eastAsia="Times New Roman" w:hAnsi="Times New Roman"/>
                <w:noProof/>
                <w:color w:val="538135" w:themeColor="accent6" w:themeShade="BF"/>
                <w:szCs w:val="24"/>
                <w:lang w:val="ru-RU"/>
              </w:rPr>
              <w:drawing>
                <wp:inline distT="0" distB="0" distL="0" distR="0" wp14:anchorId="1BE18242" wp14:editId="354EEE4D">
                  <wp:extent cx="2581275" cy="24765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F4DBF" w:rsidRPr="002F4DBF" w:rsidRDefault="002F4DBF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рентної плати та плати за використання інших природних ресурсів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116201,35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139,70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83180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33021,35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0,7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816CAF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вироблених в Україні підакцизних товарів (пальне)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299516,68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надходження акцизного податку з ввезених на митну територію України підакцизних товарів (пальне)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1017215,35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Деякі питання зарахування частини акцизного податку з виробленого в Україні та ввезеного на митну територію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пального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відповідних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бюджетів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місцевого</w:t>
      </w:r>
      <w:proofErr w:type="spellEnd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для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зарахування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загального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фонду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бюджетів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місцевого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самоврядування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частини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акцизного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податку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виробленого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Україні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ввезеного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митну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територію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пального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першому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півріччі</w:t>
      </w:r>
      <w:proofErr w:type="spellEnd"/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реалізації суб’єктами господарювання роздрібної торгівлі підакцизних товарів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238434,67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41724,67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1,36%;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187"/>
      </w:tblGrid>
      <w:tr w:rsidR="002F4DBF" w:rsidRPr="002F4DBF" w:rsidTr="00DD4121">
        <w:tc>
          <w:tcPr>
            <w:tcW w:w="4311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32931728" wp14:editId="4FEC2D4D">
                  <wp:extent cx="2600325" cy="20097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816CAF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на майно за 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3305091,48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94,46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193818,52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18,85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1419393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податку на майно за І </w:t>
      </w:r>
      <w:r w:rsidR="00B34F1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1624,05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1280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126,88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надходження податку на нерухоме майно, сплачений фізичн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особами, які є власниками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1724,26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податку заплановані з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липня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AA" w:rsidRPr="002F4DBF" w:rsidRDefault="007309AA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на нерухоме майно, сплачений фізичними особами, які є власниками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5557,68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складає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6220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, виконання 89,35%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нежитлової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829897,40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864790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95,97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34892,60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9D9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земельного податку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424598,50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411300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103,23%;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1971029,55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2144580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91,91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173550,45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податку з фізичних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4008,03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9600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41,75%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фізичних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54152,01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61140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88,57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в сумі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6987,99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транспортного податку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12500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надходження коштів на 2021 рік не заплановані.</w:t>
      </w:r>
    </w:p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BA09D9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єдиного податку за 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1989467,89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106,17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1873770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115697,89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актичних власних надходжень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11,35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м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394856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2BFA9" wp14:editId="42CF8452">
                  <wp:extent cx="2733675" cy="22383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Надходження є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 xml:space="preserve">диного податку за 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юридичних осіб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18221,23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140180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13,00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недов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иконання складає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121958,77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фізичних осіб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1631503,93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1304300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125,09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327203,93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сільськогосподарських товаровиробників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339742,73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429290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79,14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89547,27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ВЛАСНИХ ТА ЗАКРІПЛЕНИХ НАДХОДЖЕНЬ ЗАГАЛЬНОГО ФОНДУ БЮДЖЕТУ СТЕПАНКІВСЬКОЇ СІЛЬСЬКОЇ ТЕРИТОРІАЛЬНОЇ ГРОМАДИ ЗА І </w:t>
      </w:r>
      <w:r w:rsidR="00531A2B">
        <w:rPr>
          <w:rFonts w:ascii="Times New Roman" w:eastAsia="Times New Roman" w:hAnsi="Times New Roman"/>
          <w:sz w:val="24"/>
          <w:szCs w:val="24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DE2545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 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>- 11945014 грн, виконання відносно уточненого плану 99,61% (уточнений план на період становив 11991432 грн, відхилення від уточненого плану по міжбюджетних трансфертах загального фонду становить 46418 грн)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базова дотація  надійшла у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471600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471600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освітня субвенція з державного бюджету місцевим бюджетам надійшла у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9480700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9480700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79,4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361800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361800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20732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20732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084DE1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215476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215476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фактичних надходженнях міжбюджетних трансфертів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084DE1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субвенції з місцевого бюджету надійшли у сумі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1003706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1050124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95,58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у тому числі інші субвенції за І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4A26" w:rsidRPr="0008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084DE1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084DE1">
        <w:rPr>
          <w:sz w:val="28"/>
          <w:szCs w:val="28"/>
          <w:lang w:val="uk-UA"/>
        </w:rPr>
        <w:t xml:space="preserve">ської ради в сумі </w:t>
      </w:r>
      <w:r w:rsidR="00084DE1">
        <w:rPr>
          <w:sz w:val="28"/>
          <w:szCs w:val="28"/>
          <w:lang w:val="uk-UA"/>
        </w:rPr>
        <w:t>480000,00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>, пр</w:t>
      </w:r>
      <w:r w:rsidR="00314C95" w:rsidRPr="00084DE1">
        <w:rPr>
          <w:sz w:val="28"/>
          <w:szCs w:val="28"/>
          <w:lang w:val="uk-UA"/>
        </w:rPr>
        <w:t xml:space="preserve">и плані на період </w:t>
      </w:r>
      <w:r w:rsidR="00084DE1">
        <w:rPr>
          <w:sz w:val="28"/>
          <w:szCs w:val="28"/>
          <w:lang w:val="uk-UA"/>
        </w:rPr>
        <w:t>480000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314C95" w:rsidRPr="00084DE1">
        <w:rPr>
          <w:sz w:val="28"/>
          <w:szCs w:val="28"/>
          <w:lang w:val="uk-UA"/>
        </w:rPr>
        <w:t>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</w:t>
      </w:r>
      <w:proofErr w:type="spellStart"/>
      <w:r w:rsidRPr="00084DE1">
        <w:rPr>
          <w:sz w:val="28"/>
          <w:szCs w:val="28"/>
          <w:lang w:val="uk-UA"/>
        </w:rPr>
        <w:t>Будищенської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відповідно до рішення від 08.02.2021 № 8-1/</w:t>
      </w:r>
      <w:r w:rsidRPr="00084DE1">
        <w:rPr>
          <w:sz w:val="28"/>
          <w:szCs w:val="28"/>
        </w:rPr>
        <w:t>VII</w:t>
      </w:r>
      <w:r w:rsidRPr="00084DE1">
        <w:rPr>
          <w:sz w:val="28"/>
          <w:szCs w:val="28"/>
          <w:lang w:val="uk-UA"/>
        </w:rPr>
        <w:t xml:space="preserve">І «Про внесення змін до рішення сесії </w:t>
      </w:r>
      <w:proofErr w:type="spellStart"/>
      <w:r w:rsidRPr="00084DE1">
        <w:rPr>
          <w:sz w:val="28"/>
          <w:szCs w:val="28"/>
          <w:lang w:val="uk-UA"/>
        </w:rPr>
        <w:t>Будищенської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ради від 24.12.2020 №5-35/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</w:t>
      </w:r>
      <w:proofErr w:type="spellStart"/>
      <w:r w:rsidRPr="00084DE1">
        <w:rPr>
          <w:sz w:val="28"/>
          <w:szCs w:val="28"/>
          <w:lang w:val="uk-UA"/>
        </w:rPr>
        <w:t>Будищенської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50400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50400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Мошнівської сільської територіальної громади відповідно до рішення від 24.02.2021 №7-1/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105007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105007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</w:t>
      </w:r>
      <w:proofErr w:type="spellStart"/>
      <w:r w:rsidRPr="00084DE1">
        <w:rPr>
          <w:sz w:val="28"/>
          <w:szCs w:val="28"/>
          <w:lang w:val="uk-UA"/>
        </w:rPr>
        <w:t>Леськівської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відповідно до рішення від 04.03.2021 №5-63/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</w:t>
      </w:r>
      <w:proofErr w:type="spellStart"/>
      <w:r w:rsidRPr="00084DE1">
        <w:rPr>
          <w:sz w:val="28"/>
          <w:szCs w:val="28"/>
          <w:lang w:val="uk-UA"/>
        </w:rPr>
        <w:t>Леськівської</w:t>
      </w:r>
      <w:proofErr w:type="spellEnd"/>
      <w:r w:rsidRPr="00084DE1">
        <w:rPr>
          <w:sz w:val="28"/>
          <w:szCs w:val="28"/>
          <w:lang w:val="uk-UA"/>
        </w:rPr>
        <w:t xml:space="preserve">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900E39" w:rsidRPr="00084DE1">
        <w:rPr>
          <w:sz w:val="28"/>
          <w:szCs w:val="28"/>
          <w:lang w:val="uk-UA"/>
        </w:rPr>
        <w:t>90000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90</w:t>
      </w:r>
      <w:r w:rsidR="006F3A9B" w:rsidRPr="00084DE1">
        <w:rPr>
          <w:sz w:val="28"/>
          <w:szCs w:val="28"/>
          <w:lang w:val="uk-UA"/>
        </w:rPr>
        <w:t xml:space="preserve">000грн </w:t>
      </w:r>
      <w:r w:rsidRPr="00084DE1">
        <w:rPr>
          <w:sz w:val="28"/>
          <w:szCs w:val="28"/>
          <w:lang w:val="uk-UA"/>
        </w:rPr>
        <w:t xml:space="preserve">виконання </w:t>
      </w:r>
      <w:r w:rsidR="00900E39" w:rsidRPr="00084DE1">
        <w:rPr>
          <w:sz w:val="28"/>
          <w:szCs w:val="28"/>
          <w:lang w:val="uk-UA"/>
        </w:rPr>
        <w:t>100%</w:t>
      </w:r>
      <w:r w:rsidRPr="00084DE1">
        <w:rPr>
          <w:sz w:val="28"/>
          <w:szCs w:val="28"/>
          <w:lang w:val="uk-UA"/>
        </w:rPr>
        <w:t>;</w:t>
      </w:r>
    </w:p>
    <w:p w:rsidR="008B3AC5" w:rsidRPr="00084DE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Руськополянської </w:t>
      </w:r>
      <w:r w:rsidR="008B3AC5" w:rsidRPr="00084DE1">
        <w:rPr>
          <w:sz w:val="28"/>
          <w:szCs w:val="28"/>
          <w:lang w:val="uk-UA"/>
        </w:rPr>
        <w:t xml:space="preserve">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92680</w:t>
      </w:r>
      <w:r w:rsidR="008B3AC5" w:rsidRPr="00084DE1">
        <w:rPr>
          <w:sz w:val="28"/>
          <w:szCs w:val="28"/>
          <w:lang w:val="uk-UA"/>
        </w:rPr>
        <w:t xml:space="preserve"> гр</w:t>
      </w:r>
      <w:r w:rsidRPr="00084DE1">
        <w:rPr>
          <w:sz w:val="28"/>
          <w:szCs w:val="28"/>
          <w:lang w:val="uk-UA"/>
        </w:rPr>
        <w:t>н</w:t>
      </w:r>
      <w:r w:rsidR="008B3AC5"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139098</w:t>
      </w:r>
      <w:r w:rsidRPr="00084DE1">
        <w:rPr>
          <w:sz w:val="28"/>
          <w:szCs w:val="28"/>
          <w:lang w:val="uk-UA"/>
        </w:rPr>
        <w:t xml:space="preserve"> грн</w:t>
      </w:r>
      <w:r w:rsidR="008B3AC5" w:rsidRPr="00084DE1">
        <w:rPr>
          <w:sz w:val="28"/>
          <w:szCs w:val="28"/>
          <w:lang w:val="uk-UA"/>
        </w:rPr>
        <w:t xml:space="preserve"> виконання </w:t>
      </w:r>
      <w:r w:rsidR="00084DE1">
        <w:rPr>
          <w:sz w:val="28"/>
          <w:szCs w:val="28"/>
          <w:lang w:val="uk-UA"/>
        </w:rPr>
        <w:t>67</w:t>
      </w:r>
      <w:r w:rsidR="008B3AC5" w:rsidRPr="00084DE1">
        <w:rPr>
          <w:sz w:val="28"/>
          <w:szCs w:val="28"/>
          <w:lang w:val="uk-UA"/>
        </w:rPr>
        <w:t>%, сума недоотриманої субвенції на період 46418,00 грн;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lastRenderedPageBreak/>
        <w:t xml:space="preserve"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159921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159921</w:t>
      </w:r>
      <w:r w:rsidR="006F3A9B" w:rsidRPr="00084DE1">
        <w:rPr>
          <w:sz w:val="28"/>
          <w:szCs w:val="28"/>
          <w:lang w:val="uk-UA"/>
        </w:rPr>
        <w:t>грн</w:t>
      </w:r>
      <w:r w:rsidRPr="00084DE1">
        <w:rPr>
          <w:sz w:val="28"/>
          <w:szCs w:val="28"/>
          <w:lang w:val="uk-UA"/>
        </w:rPr>
        <w:t xml:space="preserve"> виконання 100%</w:t>
      </w:r>
      <w:r w:rsidR="006F3A9B" w:rsidRPr="00084DE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За І </w:t>
      </w:r>
      <w:r w:rsidR="006C07F1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6C07F1">
        <w:rPr>
          <w:rFonts w:ascii="Times New Roman" w:hAnsi="Times New Roman"/>
          <w:sz w:val="28"/>
          <w:szCs w:val="28"/>
        </w:rPr>
        <w:t>474672,28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6C07F1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6C07F1">
        <w:rPr>
          <w:rFonts w:ascii="Times New Roman" w:hAnsi="Times New Roman"/>
          <w:sz w:val="28"/>
          <w:szCs w:val="28"/>
        </w:rPr>
        <w:t>1580293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6C07F1">
        <w:rPr>
          <w:rFonts w:ascii="Times New Roman" w:hAnsi="Times New Roman"/>
          <w:sz w:val="28"/>
          <w:szCs w:val="28"/>
        </w:rPr>
        <w:t>474672,28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6C07F1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 xml:space="preserve">%, питома вага у надходженнях спеціального фонду 100%, надходження порівняно з І </w:t>
      </w:r>
      <w:r w:rsidR="006C07F1">
        <w:rPr>
          <w:rFonts w:ascii="Times New Roman" w:hAnsi="Times New Roman"/>
          <w:sz w:val="28"/>
          <w:szCs w:val="28"/>
        </w:rPr>
        <w:t>півріччям</w:t>
      </w:r>
      <w:r w:rsidRPr="002F4DBF">
        <w:rPr>
          <w:rFonts w:ascii="Times New Roman" w:hAnsi="Times New Roman"/>
          <w:sz w:val="28"/>
          <w:szCs w:val="28"/>
        </w:rPr>
        <w:t xml:space="preserve"> 20</w:t>
      </w:r>
      <w:r w:rsidR="002538DB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6C07F1">
        <w:rPr>
          <w:rFonts w:ascii="Times New Roman" w:hAnsi="Times New Roman"/>
          <w:sz w:val="28"/>
          <w:szCs w:val="28"/>
        </w:rPr>
        <w:t>326171,27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6C07F1">
        <w:rPr>
          <w:rFonts w:ascii="Times New Roman" w:hAnsi="Times New Roman"/>
          <w:sz w:val="28"/>
          <w:szCs w:val="28"/>
        </w:rPr>
        <w:t>319,64</w:t>
      </w:r>
      <w:r w:rsidR="002538DB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 надходжень міжбюджетних трансфертів по спеціальному фонду за І </w:t>
      </w:r>
      <w:r w:rsidR="006C07F1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Надходження спеціального фонду за І </w:t>
      </w:r>
      <w:r w:rsidR="00B572E0">
        <w:rPr>
          <w:rFonts w:ascii="Times New Roman" w:hAnsi="Times New Roman"/>
          <w:sz w:val="28"/>
          <w:szCs w:val="28"/>
        </w:rPr>
        <w:t>півріччя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B572E0">
        <w:rPr>
          <w:rFonts w:ascii="Times New Roman" w:hAnsi="Times New Roman"/>
          <w:sz w:val="28"/>
          <w:szCs w:val="28"/>
        </w:rPr>
        <w:t>474672,28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B572E0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податкові надходження за І </w:t>
      </w:r>
      <w:r w:rsidR="00B572E0">
        <w:rPr>
          <w:rFonts w:ascii="Times New Roman" w:hAnsi="Times New Roman"/>
          <w:sz w:val="28"/>
          <w:szCs w:val="28"/>
        </w:rPr>
        <w:t>півріччя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B572E0">
        <w:rPr>
          <w:rFonts w:ascii="Times New Roman" w:hAnsi="Times New Roman"/>
          <w:sz w:val="28"/>
          <w:szCs w:val="28"/>
        </w:rPr>
        <w:t>99420,44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B572E0">
        <w:rPr>
          <w:rFonts w:ascii="Times New Roman" w:hAnsi="Times New Roman"/>
          <w:sz w:val="28"/>
          <w:szCs w:val="28"/>
        </w:rPr>
        <w:t>142,64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B572E0">
        <w:rPr>
          <w:rFonts w:ascii="Times New Roman" w:hAnsi="Times New Roman"/>
          <w:sz w:val="28"/>
          <w:szCs w:val="28"/>
        </w:rPr>
        <w:t>69700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B572E0">
        <w:rPr>
          <w:rFonts w:ascii="Times New Roman" w:hAnsi="Times New Roman"/>
          <w:sz w:val="28"/>
          <w:szCs w:val="28"/>
        </w:rPr>
        <w:t>29720,44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B572E0">
        <w:rPr>
          <w:rFonts w:ascii="Times New Roman" w:hAnsi="Times New Roman"/>
          <w:sz w:val="28"/>
          <w:szCs w:val="28"/>
        </w:rPr>
        <w:t>99420,44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B572E0">
        <w:rPr>
          <w:rFonts w:ascii="Times New Roman" w:hAnsi="Times New Roman"/>
          <w:sz w:val="28"/>
          <w:szCs w:val="28"/>
        </w:rPr>
        <w:t>20,94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1F81C88" wp14:editId="566B7003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DD5416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Порівняно з І </w:t>
            </w:r>
            <w:r w:rsidR="00D50C70">
              <w:rPr>
                <w:rFonts w:ascii="Times New Roman" w:hAnsi="Times New Roman"/>
                <w:sz w:val="28"/>
                <w:szCs w:val="28"/>
              </w:rPr>
              <w:t xml:space="preserve">півріччям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 w:rsidR="00DD5416">
              <w:rPr>
                <w:rFonts w:ascii="Times New Roman" w:hAnsi="Times New Roman"/>
                <w:sz w:val="28"/>
                <w:szCs w:val="28"/>
              </w:rPr>
              <w:t>89261,44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DD5416">
              <w:rPr>
                <w:rFonts w:ascii="Times New Roman" w:hAnsi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неподаткові надходження за І </w:t>
      </w:r>
      <w:r w:rsidR="00E750CF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E750CF">
        <w:rPr>
          <w:rFonts w:ascii="Times New Roman" w:hAnsi="Times New Roman"/>
          <w:sz w:val="28"/>
          <w:szCs w:val="28"/>
        </w:rPr>
        <w:t>374222,74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E750CF">
        <w:rPr>
          <w:rFonts w:ascii="Times New Roman" w:hAnsi="Times New Roman"/>
          <w:sz w:val="28"/>
          <w:szCs w:val="28"/>
        </w:rPr>
        <w:t>29,94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надходження від плати за послуги, що надаються бюджетними установами згідно з їх основною діяльністю за І </w:t>
      </w:r>
      <w:r w:rsidR="00E750CF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E750CF">
        <w:rPr>
          <w:rFonts w:ascii="Times New Roman" w:hAnsi="Times New Roman"/>
          <w:sz w:val="28"/>
          <w:szCs w:val="28"/>
        </w:rPr>
        <w:t>341420,04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E750CF">
        <w:rPr>
          <w:rFonts w:ascii="Times New Roman" w:hAnsi="Times New Roman"/>
          <w:sz w:val="28"/>
          <w:szCs w:val="28"/>
        </w:rPr>
        <w:t>71,93</w:t>
      </w:r>
      <w:r w:rsidRPr="002F4DBF">
        <w:rPr>
          <w:rFonts w:ascii="Times New Roman" w:hAnsi="Times New Roman"/>
          <w:sz w:val="28"/>
          <w:szCs w:val="28"/>
        </w:rPr>
        <w:t xml:space="preserve">%, надходження порівняно з І </w:t>
      </w:r>
      <w:r w:rsidR="00E750CF">
        <w:rPr>
          <w:rFonts w:ascii="Times New Roman" w:hAnsi="Times New Roman"/>
          <w:sz w:val="28"/>
          <w:szCs w:val="28"/>
        </w:rPr>
        <w:t>півріччям</w:t>
      </w:r>
      <w:r w:rsidRPr="002F4DBF">
        <w:rPr>
          <w:rFonts w:ascii="Times New Roman" w:hAnsi="Times New Roman"/>
          <w:sz w:val="28"/>
          <w:szCs w:val="28"/>
        </w:rPr>
        <w:t xml:space="preserve"> 20</w:t>
      </w:r>
      <w:r w:rsidR="00A33A4F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E750CF">
        <w:rPr>
          <w:rFonts w:ascii="Times New Roman" w:hAnsi="Times New Roman"/>
          <w:sz w:val="28"/>
          <w:szCs w:val="28"/>
        </w:rPr>
        <w:t>230731,44</w:t>
      </w:r>
      <w:r w:rsidR="00A33A4F">
        <w:rPr>
          <w:rFonts w:ascii="Times New Roman" w:hAnsi="Times New Roman"/>
          <w:sz w:val="28"/>
          <w:szCs w:val="28"/>
        </w:rPr>
        <w:t xml:space="preserve">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2F4DBF" w:rsidRPr="002F4DBF">
        <w:rPr>
          <w:rFonts w:ascii="Times New Roman" w:hAnsi="Times New Roman"/>
          <w:sz w:val="28"/>
          <w:szCs w:val="28"/>
        </w:rPr>
        <w:t xml:space="preserve">адходження до цільових фондів за І </w:t>
      </w:r>
      <w:r w:rsidR="00E750CF">
        <w:rPr>
          <w:rFonts w:ascii="Times New Roman" w:hAnsi="Times New Roman"/>
          <w:sz w:val="28"/>
          <w:szCs w:val="28"/>
        </w:rPr>
        <w:t>півріччя</w:t>
      </w:r>
      <w:r w:rsidR="002F4DBF" w:rsidRPr="002F4D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E750CF">
        <w:rPr>
          <w:rFonts w:ascii="Times New Roman" w:hAnsi="Times New Roman"/>
          <w:sz w:val="28"/>
          <w:szCs w:val="28"/>
        </w:rPr>
        <w:t>1029,10</w:t>
      </w:r>
      <w:r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E750CF">
        <w:rPr>
          <w:rFonts w:ascii="Times New Roman" w:hAnsi="Times New Roman"/>
          <w:sz w:val="28"/>
          <w:szCs w:val="28"/>
        </w:rPr>
        <w:t>10,09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>
        <w:rPr>
          <w:rFonts w:ascii="Times New Roman" w:hAnsi="Times New Roman"/>
          <w:sz w:val="28"/>
          <w:szCs w:val="28"/>
        </w:rPr>
        <w:t>0,2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E75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 xml:space="preserve">Фактичні надходження цільових фондів порівняно з І </w:t>
            </w:r>
            <w:r w:rsidR="00E750CF">
              <w:rPr>
                <w:rFonts w:ascii="Times New Roman" w:hAnsi="Times New Roman"/>
                <w:sz w:val="28"/>
                <w:szCs w:val="28"/>
              </w:rPr>
              <w:t xml:space="preserve">півріччям 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20</w:t>
            </w:r>
            <w:r w:rsidR="00326BC4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</w:t>
            </w:r>
            <w:r w:rsidR="00E750CF">
              <w:rPr>
                <w:rFonts w:ascii="Times New Roman" w:hAnsi="Times New Roman"/>
                <w:sz w:val="28"/>
                <w:szCs w:val="28"/>
              </w:rPr>
              <w:t>більшились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179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21,0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%, порівняно з І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2019 року зменшились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9233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E7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FE6D" wp14:editId="2491858C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ЗА І </w:t>
      </w:r>
      <w:r w:rsidR="00E750CF">
        <w:rPr>
          <w:rFonts w:ascii="Times New Roman" w:eastAsia="Times New Roman" w:hAnsi="Times New Roman"/>
          <w:sz w:val="24"/>
          <w:szCs w:val="24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Надходження до бюджету Степанківської сільської територіальної громади за І 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1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507447,60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proofErr w:type="spellStart"/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proofErr w:type="spellEnd"/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183633,80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ПП «Хацьки-Агро» до бюджету Степанківської сільської територіальної громади за І</w:t>
      </w:r>
      <w:r w:rsidR="00E50107">
        <w:rPr>
          <w:rFonts w:ascii="Times New Roman" w:eastAsia="Times New Roman" w:hAnsi="Times New Roman"/>
          <w:sz w:val="28"/>
          <w:szCs w:val="28"/>
          <w:lang w:eastAsia="ru-RU"/>
        </w:rPr>
        <w:t xml:space="preserve"> 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B073AF" w:rsidRDefault="00A15388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A15388" w:rsidRPr="00B073AF" w:rsidRDefault="004A169B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A15388" w:rsidRPr="00B073AF" w:rsidRDefault="004A169B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493684,25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691081,40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507447,60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66000,00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53952,00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51720,00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243000,00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532004,40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366102,60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3790,00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46000,00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45600,00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90678,61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41000,00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215,64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125,00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0C5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903914,95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284588,79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2019 року більше на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322766,72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І </w:t>
      </w:r>
      <w:r w:rsidR="000C5EA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581148,23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619326,16</w:t>
            </w:r>
          </w:p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F470B" w:rsidRPr="00B073AF" w:rsidRDefault="000C5EA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903914,95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263891,29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287858,69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294542,61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35783,94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772,20</w:t>
            </w:r>
          </w:p>
        </w:tc>
        <w:tc>
          <w:tcPr>
            <w:tcW w:w="1694" w:type="dxa"/>
          </w:tcPr>
          <w:p w:rsidR="00EF470B" w:rsidRPr="00B073AF" w:rsidRDefault="000C5EA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281866,15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559,32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6641,38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52233,80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105127,32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274473,00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277725,03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185897,49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470B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177,12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13299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29840,00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580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295525" cy="1914525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0467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альної громади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211775,17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20 року менше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674191,23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37691E" w:rsidTr="00620EC8">
        <w:tc>
          <w:tcPr>
            <w:tcW w:w="3964" w:type="dxa"/>
          </w:tcPr>
          <w:p w:rsidR="004A169B" w:rsidRPr="0037691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884030,31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885966,40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211775,17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740483,78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830064,49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209495,59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141481,92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53879,95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114,04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34,73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2165,54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046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510039,85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16058,43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2F4DB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514468,22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493981,42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510039,85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191624,60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224945,07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187196,23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322843,62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269036,35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322843,62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046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334266,50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30350,72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«ОПТІМУСАГРО ТРЕЙД»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3825C1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322593,73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364617,22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334266,50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320305,86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362954,19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334085,75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9,47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2278,99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1654,69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171,28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Надходження від платників аграрного сектору за І </w:t>
      </w:r>
      <w:r w:rsidR="00046712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153916,15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43"/>
        <w:gridCol w:w="1545"/>
        <w:gridCol w:w="1357"/>
      </w:tblGrid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4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74440,37</w:t>
            </w:r>
          </w:p>
        </w:tc>
        <w:tc>
          <w:tcPr>
            <w:tcW w:w="1357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153916,15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34464,00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90411,65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9400,70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420,11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2288,06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1028,00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1469,00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37741,93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50322,57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45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51707,31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43"/>
        <w:gridCol w:w="1545"/>
        <w:gridCol w:w="1357"/>
      </w:tblGrid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4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34489,58</w:t>
            </w:r>
          </w:p>
        </w:tc>
        <w:tc>
          <w:tcPr>
            <w:tcW w:w="1357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51707,31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8300,29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16562,29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5808,31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10164,58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20223,06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24589,70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157,92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390,74</w:t>
            </w:r>
          </w:p>
        </w:tc>
      </w:tr>
    </w:tbl>
    <w:p w:rsidR="00046712" w:rsidRDefault="00046712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614369,17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25"/>
        <w:gridCol w:w="1568"/>
        <w:gridCol w:w="1352"/>
      </w:tblGrid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68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2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348788,67</w:t>
            </w:r>
          </w:p>
        </w:tc>
        <w:tc>
          <w:tcPr>
            <w:tcW w:w="1352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614369,17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47758,62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132110,08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2922,71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6106,36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278127,03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445836,04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єдиний податок з сільськогосподарських товаровиробників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19964,06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30274,19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42,50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30857,65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13"/>
        <w:gridCol w:w="1539"/>
        <w:gridCol w:w="1393"/>
      </w:tblGrid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3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9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9263,22</w:t>
            </w:r>
          </w:p>
        </w:tc>
        <w:tc>
          <w:tcPr>
            <w:tcW w:w="1393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30857,65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9263,22</w:t>
            </w:r>
          </w:p>
        </w:tc>
        <w:tc>
          <w:tcPr>
            <w:tcW w:w="1393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30857,65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10078,24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13"/>
        <w:gridCol w:w="1539"/>
        <w:gridCol w:w="1393"/>
      </w:tblGrid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3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9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4097,89</w:t>
            </w:r>
          </w:p>
        </w:tc>
        <w:tc>
          <w:tcPr>
            <w:tcW w:w="1393" w:type="dxa"/>
          </w:tcPr>
          <w:p w:rsidR="004A169B" w:rsidRPr="008F2B11" w:rsidRDefault="00052F2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10078,24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4097,89</w:t>
            </w:r>
          </w:p>
        </w:tc>
        <w:tc>
          <w:tcPr>
            <w:tcW w:w="1393" w:type="dxa"/>
          </w:tcPr>
          <w:p w:rsidR="004A169B" w:rsidRPr="008F2B11" w:rsidRDefault="00052F2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10078,24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125257,96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62556,23</w:t>
            </w:r>
          </w:p>
        </w:tc>
        <w:tc>
          <w:tcPr>
            <w:tcW w:w="1389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125257,96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1222,58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61333,65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122667,30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46365,97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27224,29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46365,97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27224,29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46365,97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Надходження до бюджету Степанківської сільської територіальної громади за І 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півріччя 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промислового сектору за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3230156,46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 xml:space="preserve">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838737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1943660,71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2391419,26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3230156,46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1875525,11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2297540,11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3106790,14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491,66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884,19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20065,03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35204,78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51559,40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12618,80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13739,83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17665,04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35244,00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44055,00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52866,00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207,77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387,88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391,69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lastRenderedPageBreak/>
        <w:t xml:space="preserve">- ТОВ «ІНФО КАР» (виробництво добрив і азотних </w:t>
      </w:r>
      <w:proofErr w:type="spellStart"/>
      <w:r w:rsidRPr="002F4DBF">
        <w:rPr>
          <w:rFonts w:ascii="Times New Roman" w:hAnsi="Times New Roman"/>
          <w:sz w:val="28"/>
          <w:szCs w:val="28"/>
        </w:rPr>
        <w:t>сполук</w:t>
      </w:r>
      <w:proofErr w:type="spellEnd"/>
      <w:r w:rsidRPr="002F4DBF">
        <w:rPr>
          <w:rFonts w:ascii="Times New Roman" w:hAnsi="Times New Roman"/>
          <w:sz w:val="28"/>
          <w:szCs w:val="28"/>
        </w:rPr>
        <w:t xml:space="preserve">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342343,63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82694,81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929896,27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259648,82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342343,63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811936,77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173071,21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237406,93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81,44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81,55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44860,00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41060,02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42421,00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71346,00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43634,00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61082,00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1753,50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1802,15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1352,15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транспортний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«ГРОСДОРФ» (виробництво добрив і азотних </w:t>
      </w:r>
      <w:proofErr w:type="spellStart"/>
      <w:r w:rsidRPr="002F4DBF">
        <w:rPr>
          <w:rFonts w:ascii="Times New Roman" w:hAnsi="Times New Roman"/>
          <w:sz w:val="28"/>
          <w:szCs w:val="28"/>
        </w:rPr>
        <w:t>сполук</w:t>
      </w:r>
      <w:proofErr w:type="spellEnd"/>
      <w:r w:rsidRPr="002F4DBF">
        <w:rPr>
          <w:rFonts w:ascii="Times New Roman" w:hAnsi="Times New Roman"/>
          <w:sz w:val="28"/>
          <w:szCs w:val="28"/>
        </w:rPr>
        <w:t>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158603,17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35494,95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847975" cy="2061713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615574,93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123108,22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158603,17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615574,93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123108,22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158603,17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144473,02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19342,26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847975" cy="1958196"/>
                  <wp:effectExtent l="0" t="0" r="0" b="444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D0058D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165164,30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125130,76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144473,02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158359,30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118590,76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139592,02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6805,00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6540,00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4881,00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591973,19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153191,88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D0058D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444082,01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438781,31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591973,19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297023,11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298835,32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411014,73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3240,00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95082,69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88168,25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129124,32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48122,47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48122,47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48122,47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613,74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415,27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471,67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промислового сектору за І </w:t>
      </w:r>
      <w:r w:rsidR="0063086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630865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630865">
        <w:rPr>
          <w:rFonts w:ascii="Times New Roman" w:hAnsi="Times New Roman"/>
          <w:sz w:val="28"/>
          <w:szCs w:val="28"/>
        </w:rPr>
        <w:t>1179249,25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80"/>
        <w:gridCol w:w="1580"/>
        <w:gridCol w:w="1385"/>
      </w:tblGrid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80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427801,07</w:t>
            </w:r>
          </w:p>
        </w:tc>
        <w:tc>
          <w:tcPr>
            <w:tcW w:w="1385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1179249,25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300782,79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882945,45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39765,72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67702,21</w:t>
            </w:r>
          </w:p>
        </w:tc>
      </w:tr>
      <w:tr w:rsidR="003E2C22" w:rsidRPr="005C36B8" w:rsidTr="004A169B">
        <w:tc>
          <w:tcPr>
            <w:tcW w:w="6380" w:type="dxa"/>
          </w:tcPr>
          <w:p w:rsidR="003E2C22" w:rsidRPr="003E2C22" w:rsidRDefault="003E2C22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80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10395,00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86389,88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215974,70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3E2C22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862,68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1637,02</w:t>
            </w:r>
          </w:p>
        </w:tc>
      </w:tr>
      <w:tr w:rsidR="003E2C22" w:rsidRPr="005C36B8" w:rsidTr="004A169B">
        <w:tc>
          <w:tcPr>
            <w:tcW w:w="6380" w:type="dxa"/>
          </w:tcPr>
          <w:p w:rsidR="003E2C22" w:rsidRPr="003E2C22" w:rsidRDefault="003E2C22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надходження від розміщення відходів</w:t>
            </w:r>
          </w:p>
        </w:tc>
        <w:tc>
          <w:tcPr>
            <w:tcW w:w="1580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594,87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630865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630865">
        <w:rPr>
          <w:rFonts w:ascii="Times New Roman" w:hAnsi="Times New Roman"/>
          <w:sz w:val="28"/>
          <w:szCs w:val="28"/>
        </w:rPr>
        <w:t>22343,09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12299,09</w:t>
            </w:r>
          </w:p>
        </w:tc>
        <w:tc>
          <w:tcPr>
            <w:tcW w:w="1389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22343,09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11092,19</w:t>
            </w:r>
          </w:p>
        </w:tc>
        <w:tc>
          <w:tcPr>
            <w:tcW w:w="1389" w:type="dxa"/>
          </w:tcPr>
          <w:p w:rsidR="004A169B" w:rsidRPr="008F2B11" w:rsidRDefault="0056439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21136,19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389" w:type="dxa"/>
          </w:tcPr>
          <w:p w:rsidR="004A169B" w:rsidRPr="008F2B11" w:rsidRDefault="0056439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B073A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</w:t>
      </w:r>
      <w:r w:rsidR="00B72C1A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Pr="00B073AF">
        <w:rPr>
          <w:rFonts w:ascii="Times New Roman" w:hAnsi="Times New Roman"/>
          <w:sz w:val="28"/>
          <w:szCs w:val="28"/>
        </w:rPr>
        <w:t>забезпечили надходжен</w:t>
      </w:r>
      <w:r w:rsidR="005907ED" w:rsidRPr="00B073AF">
        <w:rPr>
          <w:rFonts w:ascii="Times New Roman" w:hAnsi="Times New Roman"/>
          <w:sz w:val="28"/>
          <w:szCs w:val="28"/>
        </w:rPr>
        <w:t xml:space="preserve">ня всього в сумі </w:t>
      </w:r>
      <w:r w:rsidR="00B073AF" w:rsidRPr="00B073AF">
        <w:rPr>
          <w:rFonts w:ascii="Times New Roman" w:hAnsi="Times New Roman"/>
          <w:sz w:val="28"/>
          <w:szCs w:val="28"/>
        </w:rPr>
        <w:t>9169138,33</w:t>
      </w:r>
      <w:r w:rsidR="005907ED" w:rsidRPr="00B073AF">
        <w:rPr>
          <w:rFonts w:ascii="Times New Roman" w:hAnsi="Times New Roman"/>
          <w:sz w:val="28"/>
          <w:szCs w:val="28"/>
        </w:rPr>
        <w:t xml:space="preserve"> грн</w:t>
      </w:r>
      <w:r w:rsidRPr="00B073AF">
        <w:rPr>
          <w:rFonts w:ascii="Times New Roman" w:hAnsi="Times New Roman"/>
          <w:sz w:val="28"/>
          <w:szCs w:val="28"/>
        </w:rPr>
        <w:t xml:space="preserve">, що </w:t>
      </w:r>
      <w:r w:rsidRPr="00B073AF">
        <w:rPr>
          <w:rFonts w:ascii="Times New Roman" w:hAnsi="Times New Roman"/>
          <w:sz w:val="28"/>
          <w:szCs w:val="28"/>
        </w:rPr>
        <w:lastRenderedPageBreak/>
        <w:t xml:space="preserve">становить </w:t>
      </w:r>
      <w:r w:rsidR="00B073AF" w:rsidRPr="00B073AF">
        <w:rPr>
          <w:rFonts w:ascii="Times New Roman" w:hAnsi="Times New Roman"/>
          <w:sz w:val="28"/>
          <w:szCs w:val="28"/>
        </w:rPr>
        <w:t>52,3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B073A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о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B073AF" w:rsidRPr="00B073AF">
        <w:rPr>
          <w:rFonts w:ascii="Times New Roman" w:eastAsia="Times New Roman" w:hAnsi="Times New Roman"/>
          <w:sz w:val="28"/>
          <w:szCs w:val="28"/>
          <w:lang w:val="ru-RU" w:eastAsia="ru-RU"/>
        </w:rPr>
        <w:t>3499996,52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19,96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073A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B073A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5669141,81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32,33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073A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</w:t>
      </w:r>
      <w:r w:rsidR="00B073AF" w:rsidRPr="00B073AF">
        <w:rPr>
          <w:rFonts w:ascii="Times New Roman" w:hAnsi="Times New Roman"/>
          <w:sz w:val="28"/>
          <w:szCs w:val="28"/>
        </w:rPr>
        <w:t>півріччя</w:t>
      </w:r>
      <w:r w:rsidRPr="00B073AF">
        <w:rPr>
          <w:rFonts w:ascii="Times New Roman" w:hAnsi="Times New Roman"/>
          <w:sz w:val="28"/>
          <w:szCs w:val="28"/>
        </w:rPr>
        <w:t xml:space="preserve"> 202</w:t>
      </w:r>
      <w:r w:rsidR="000E246A" w:rsidRPr="00B073AF">
        <w:rPr>
          <w:rFonts w:ascii="Times New Roman" w:hAnsi="Times New Roman"/>
          <w:sz w:val="28"/>
          <w:szCs w:val="28"/>
        </w:rPr>
        <w:t xml:space="preserve">1 року в сумі </w:t>
      </w:r>
      <w:r w:rsidR="00B073AF" w:rsidRPr="00B073AF">
        <w:rPr>
          <w:rFonts w:ascii="Times New Roman" w:hAnsi="Times New Roman"/>
          <w:sz w:val="28"/>
          <w:szCs w:val="28"/>
        </w:rPr>
        <w:t>8367994,92</w:t>
      </w:r>
      <w:r w:rsidR="000E246A" w:rsidRPr="00B073AF">
        <w:rPr>
          <w:rFonts w:ascii="Times New Roman" w:hAnsi="Times New Roman"/>
          <w:sz w:val="28"/>
          <w:szCs w:val="28"/>
        </w:rPr>
        <w:t xml:space="preserve"> грн</w:t>
      </w:r>
      <w:r w:rsidRPr="00B073AF">
        <w:rPr>
          <w:rFonts w:ascii="Times New Roman" w:hAnsi="Times New Roman"/>
          <w:sz w:val="28"/>
          <w:szCs w:val="28"/>
        </w:rPr>
        <w:t xml:space="preserve">, що становить </w:t>
      </w:r>
      <w:r w:rsidR="00B073AF" w:rsidRPr="00B073AF">
        <w:rPr>
          <w:rFonts w:ascii="Times New Roman" w:hAnsi="Times New Roman"/>
          <w:sz w:val="28"/>
          <w:szCs w:val="28"/>
        </w:rPr>
        <w:t>47,72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цілому.</w:t>
      </w:r>
      <w:r w:rsidRPr="002F4DBF">
        <w:rPr>
          <w:rFonts w:ascii="Times New Roman" w:hAnsi="Times New Roman"/>
          <w:sz w:val="28"/>
          <w:szCs w:val="28"/>
        </w:rPr>
        <w:t xml:space="preserve"> </w:t>
      </w:r>
    </w:p>
    <w:p w:rsidR="00546E64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52E6" w:rsidRPr="008C52E6" w:rsidRDefault="008C52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ВИДАТКИ ТА ЗАБОРГОВАНІСТЬ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в цілому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виконані в сумі 30 414 505,47 грн, в </w:t>
      </w:r>
      <w:proofErr w:type="spellStart"/>
      <w:r w:rsidRPr="00AF3972">
        <w:rPr>
          <w:rFonts w:ascii="Times New Roman" w:hAnsi="Times New Roman"/>
          <w:sz w:val="28"/>
          <w:szCs w:val="28"/>
        </w:rPr>
        <w:t>т.ч</w:t>
      </w:r>
      <w:proofErr w:type="spellEnd"/>
      <w:r w:rsidRPr="00AF3972">
        <w:rPr>
          <w:rFonts w:ascii="Times New Roman" w:hAnsi="Times New Roman"/>
          <w:sz w:val="28"/>
          <w:szCs w:val="28"/>
        </w:rPr>
        <w:t xml:space="preserve">. із загального фонду бюджету Степанківської сільської територіальної громади на утримання установ, фінансування програм та заходів спрямовано 28 993 797,18 грн, із спеціального фонду бюджету – 1 420 708,29 грн. Передано міжбюджетних трансферів іншим бюджетам в сумі 1 518 667,00 грн, в </w:t>
      </w:r>
      <w:proofErr w:type="spellStart"/>
      <w:r w:rsidRPr="00AF3972">
        <w:rPr>
          <w:rFonts w:ascii="Times New Roman" w:hAnsi="Times New Roman"/>
          <w:sz w:val="28"/>
          <w:szCs w:val="28"/>
        </w:rPr>
        <w:t>т.ч</w:t>
      </w:r>
      <w:proofErr w:type="spellEnd"/>
      <w:r w:rsidRPr="00AF3972">
        <w:rPr>
          <w:rFonts w:ascii="Times New Roman" w:hAnsi="Times New Roman"/>
          <w:sz w:val="28"/>
          <w:szCs w:val="28"/>
        </w:rPr>
        <w:t>. із загального фонду 1 148 667,00 грн, із спеціального фонду – 370 000,00 грн.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Із загального фонду бюджету  Степанківської сільської територіальної громади на утримання установ, фінансування програм та заходів спрямовано 28 993 797,18 грн,  з яких на фінансування закладів освіти використано – 18 592 546,71 грн (64,1% загального обсягу видатків), соціального захисту та соціального забезпечення населення – 709 570,52 грн (2,4%), культури та мистецтва – 1 163 573,07  грн (4%), державне управління –  5 147 632,60 грн. (17,8%),  житлово-комунальне господарство – 881 341,17 грн (3%), захист населення і території від надзвичайних ситуацій техногенного та природного характеру (діяльність місцевої пожежної охорони) – 878 558,17 грн. (3%),  інші видатки (з урахуванням міжбюджетних трансферів) – 1 620 574,94 грн.</w:t>
      </w:r>
      <w:r w:rsidRPr="00AF3972">
        <w:t xml:space="preserve"> </w:t>
      </w:r>
      <w:r w:rsidRPr="00AF3972">
        <w:rPr>
          <w:rFonts w:ascii="Times New Roman" w:hAnsi="Times New Roman"/>
          <w:sz w:val="28"/>
          <w:szCs w:val="28"/>
        </w:rPr>
        <w:t xml:space="preserve">(5,6%). 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</w:t>
      </w:r>
      <w:r w:rsidR="00542CB0">
        <w:rPr>
          <w:rFonts w:ascii="Times New Roman" w:hAnsi="Times New Roman"/>
          <w:sz w:val="28"/>
          <w:szCs w:val="28"/>
        </w:rPr>
        <w:t>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 наводиться у додатку 5 до звіту про виконання бюджету Степанківської сільсько</w:t>
      </w:r>
      <w:r w:rsidR="00542CB0">
        <w:rPr>
          <w:rFonts w:ascii="Times New Roman" w:hAnsi="Times New Roman"/>
          <w:sz w:val="28"/>
          <w:szCs w:val="28"/>
        </w:rPr>
        <w:t>ї територіальної громади за 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року.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Видатки загального фонду бюджету за функціональною структурою за </w:t>
      </w:r>
      <w:r w:rsidR="00542CB0">
        <w:rPr>
          <w:rFonts w:ascii="Times New Roman" w:hAnsi="Times New Roman"/>
          <w:b/>
          <w:sz w:val="28"/>
          <w:szCs w:val="28"/>
          <w:u w:val="single"/>
        </w:rPr>
        <w:t>І</w:t>
      </w: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2CB0">
        <w:rPr>
          <w:rFonts w:ascii="Times New Roman" w:hAnsi="Times New Roman"/>
          <w:b/>
          <w:sz w:val="28"/>
          <w:szCs w:val="28"/>
          <w:u w:val="single"/>
        </w:rPr>
        <w:t>півріччя</w:t>
      </w: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 2021 року, </w:t>
      </w:r>
      <w:proofErr w:type="spellStart"/>
      <w:r w:rsidRPr="00AF3972">
        <w:rPr>
          <w:rFonts w:ascii="Times New Roman" w:hAnsi="Times New Roman"/>
          <w:sz w:val="28"/>
          <w:szCs w:val="28"/>
          <w:u w:val="single"/>
        </w:rPr>
        <w:t>тис.грн</w:t>
      </w:r>
      <w:proofErr w:type="spellEnd"/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3972" w:rsidRPr="00AF3972" w:rsidRDefault="00AF3972" w:rsidP="00AF3972">
      <w:pPr>
        <w:spacing w:after="0" w:line="240" w:lineRule="auto"/>
        <w:jc w:val="both"/>
      </w:pPr>
      <w:r w:rsidRPr="00AF3972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A8614DB" wp14:editId="54DABB79">
            <wp:extent cx="6115050" cy="3609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AF3972">
        <w:t xml:space="preserve"> 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F3972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AF3972">
        <w:rPr>
          <w:rFonts w:ascii="Times New Roman" w:hAnsi="Times New Roman"/>
          <w:sz w:val="28"/>
          <w:szCs w:val="28"/>
        </w:rPr>
        <w:t>ільської</w:t>
      </w:r>
      <w:proofErr w:type="spellEnd"/>
      <w:r w:rsidRPr="00AF3972">
        <w:rPr>
          <w:rFonts w:ascii="Times New Roman" w:hAnsi="Times New Roman"/>
          <w:sz w:val="28"/>
          <w:szCs w:val="28"/>
        </w:rPr>
        <w:t xml:space="preserve"> територіальної громади на утримання установ, фінансування програм та заходів спрямовано 1 420 708,29 грн. На фінансування закладів освіти використано – 155</w:t>
      </w:r>
      <w:r w:rsidRPr="00AF3972">
        <w:rPr>
          <w:rFonts w:ascii="Times New Roman" w:hAnsi="Times New Roman"/>
          <w:sz w:val="28"/>
          <w:szCs w:val="28"/>
          <w:lang w:val="ru-RU"/>
        </w:rPr>
        <w:t> 161,10</w:t>
      </w:r>
      <w:r w:rsidRPr="00AF3972">
        <w:rPr>
          <w:rFonts w:ascii="Times New Roman" w:hAnsi="Times New Roman"/>
          <w:sz w:val="28"/>
          <w:szCs w:val="28"/>
        </w:rPr>
        <w:t xml:space="preserve"> грн (</w:t>
      </w:r>
      <w:r w:rsidRPr="00AF3972">
        <w:rPr>
          <w:rFonts w:ascii="Times New Roman" w:hAnsi="Times New Roman"/>
          <w:sz w:val="28"/>
          <w:szCs w:val="28"/>
          <w:lang w:val="ru-RU"/>
        </w:rPr>
        <w:t>10,9</w:t>
      </w:r>
      <w:r w:rsidRPr="00AF3972">
        <w:rPr>
          <w:rFonts w:ascii="Times New Roman" w:hAnsi="Times New Roman"/>
          <w:sz w:val="28"/>
          <w:szCs w:val="28"/>
        </w:rPr>
        <w:t>% загального обсягу видатків), державне управління – 38 400,00 грн (</w:t>
      </w:r>
      <w:r w:rsidRPr="00AF3972">
        <w:rPr>
          <w:rFonts w:ascii="Times New Roman" w:hAnsi="Times New Roman"/>
          <w:sz w:val="28"/>
          <w:szCs w:val="28"/>
          <w:lang w:val="ru-RU"/>
        </w:rPr>
        <w:t>2,7</w:t>
      </w:r>
      <w:r w:rsidRPr="00AF3972">
        <w:rPr>
          <w:rFonts w:ascii="Times New Roman" w:hAnsi="Times New Roman"/>
          <w:sz w:val="28"/>
          <w:szCs w:val="28"/>
        </w:rPr>
        <w:t>%),  житлово-комунальне господарство – 76 497,00 грн (</w:t>
      </w:r>
      <w:r w:rsidRPr="00AF3972">
        <w:rPr>
          <w:rFonts w:ascii="Times New Roman" w:hAnsi="Times New Roman"/>
          <w:sz w:val="28"/>
          <w:szCs w:val="28"/>
          <w:lang w:val="ru-RU"/>
        </w:rPr>
        <w:t>5,3</w:t>
      </w:r>
      <w:r w:rsidRPr="00AF3972">
        <w:rPr>
          <w:rFonts w:ascii="Times New Roman" w:hAnsi="Times New Roman"/>
          <w:sz w:val="28"/>
          <w:szCs w:val="28"/>
        </w:rPr>
        <w:t>%).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</w:t>
      </w:r>
      <w:r w:rsidR="001522D5">
        <w:rPr>
          <w:rFonts w:ascii="Times New Roman" w:hAnsi="Times New Roman"/>
          <w:sz w:val="28"/>
          <w:szCs w:val="28"/>
        </w:rPr>
        <w:t xml:space="preserve">ої територіальної громади за І півріччя </w:t>
      </w:r>
      <w:r w:rsidRPr="00AF3972">
        <w:rPr>
          <w:rFonts w:ascii="Times New Roman" w:hAnsi="Times New Roman"/>
          <w:sz w:val="28"/>
          <w:szCs w:val="28"/>
        </w:rPr>
        <w:t>2021 року наводиться у додатку 6 до звіту про виконання бюджету Степанківської сільсько</w:t>
      </w:r>
      <w:r w:rsidR="001522D5">
        <w:rPr>
          <w:rFonts w:ascii="Times New Roman" w:hAnsi="Times New Roman"/>
          <w:sz w:val="28"/>
          <w:szCs w:val="28"/>
        </w:rPr>
        <w:t>ї територіальної громади за 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Обсяг видатків загального та спеціального фондів бюджету громади</w:t>
      </w: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656E759" wp14:editId="2EF62BBB">
            <wp:extent cx="5924550" cy="1295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Динаміка видатків загального фонду бюджету у розрізі основних галузей, </w:t>
      </w:r>
      <w:proofErr w:type="spellStart"/>
      <w:r w:rsidRPr="00AF3972">
        <w:rPr>
          <w:rFonts w:ascii="Times New Roman" w:hAnsi="Times New Roman"/>
          <w:sz w:val="28"/>
          <w:szCs w:val="28"/>
          <w:u w:val="single"/>
        </w:rPr>
        <w:t>тис.грн</w:t>
      </w:r>
      <w:proofErr w:type="spellEnd"/>
    </w:p>
    <w:p w:rsidR="00AF3972" w:rsidRPr="00AF3972" w:rsidRDefault="00AF3972" w:rsidP="00AF39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972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lastRenderedPageBreak/>
        <w:drawing>
          <wp:inline distT="0" distB="0" distL="0" distR="0" wp14:anchorId="34F87C14" wp14:editId="3BBCC842">
            <wp:extent cx="5581650" cy="3924300"/>
            <wp:effectExtent l="0" t="0" r="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F3972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AF3972">
        <w:rPr>
          <w:rFonts w:ascii="Times New Roman" w:hAnsi="Times New Roman"/>
          <w:sz w:val="28"/>
          <w:szCs w:val="28"/>
        </w:rPr>
        <w:t>ільської</w:t>
      </w:r>
      <w:proofErr w:type="spellEnd"/>
      <w:r w:rsidRPr="00AF3972">
        <w:rPr>
          <w:rFonts w:ascii="Times New Roman" w:hAnsi="Times New Roman"/>
          <w:sz w:val="28"/>
          <w:szCs w:val="28"/>
        </w:rPr>
        <w:t xml:space="preserve"> територіальної громади та фінансування програм, заходів характеризуються наступними показниками: 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видатки на заробітну плату з нарахуваннями – 24 148 458,59 грн або 83,3%;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оплата комунальних послуг та енергоносіїв – 1 272 737,16 грн, або 4,4%;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 інші виплати населенню – 665 069,95 грн  або 2,3%;</w:t>
      </w:r>
    </w:p>
    <w:p w:rsidR="00AF3972" w:rsidRPr="00AF3972" w:rsidRDefault="00AF3972" w:rsidP="00AF397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1 148 667,00 грн. або 4%;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1 758 864,48 грн або 6%.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         На </w:t>
      </w:r>
      <w:r w:rsidRPr="00AF3972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F3972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27 700 741,05  грн,  що в цілому становить </w:t>
      </w:r>
      <w:r w:rsidRPr="00AF3972">
        <w:rPr>
          <w:rFonts w:ascii="Times New Roman" w:hAnsi="Times New Roman"/>
          <w:sz w:val="28"/>
          <w:szCs w:val="28"/>
          <w:u w:val="single"/>
        </w:rPr>
        <w:t>76,3% до уточнених призначень на період</w:t>
      </w:r>
      <w:r w:rsidRPr="00AF3972">
        <w:rPr>
          <w:rFonts w:ascii="Times New Roman" w:hAnsi="Times New Roman"/>
          <w:sz w:val="28"/>
          <w:szCs w:val="28"/>
        </w:rPr>
        <w:t>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24 148 458,59 грн, що становить  66,5%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238 057,01  грн, що становить 1,3%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Видатки з оплати енергоносіїв та комунальних послуг профінансовано у сумі 1 272 737,16 грн, виконання склало 3,5%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на утримання апарату управління, служби у справах дітей: фактично використано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8C52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– 5 147 632,60 грн, виконання плану становить 83,7% до призначень на період з урахуванням змін,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апарат управління  - 4 988 244,99  грн;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служба у справах дітей – 159 387,61 грн;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по головному розпоряднику коштів Виконавчий комітет Степанківської сільської ради  склали 4 811 862,49 грн, по головному розпоряднику коштів Фінансовий відділ Степанківської сільської ради склали 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335</w:t>
      </w:r>
      <w:r w:rsidRPr="00AF397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770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F3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захищені видатки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звітний період спрямовано 4 791 722,93грн, що складає 78% видатків за звітний період,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3 893 904,92 грн, нарахування – 773 501,53 грн, виконання 87%. Фактично зайнята чисельність станом на 01.07.2021 року склала 43 од. при плановій чисельності 50 од.;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оплату електроенергії – 92 969,95 грн, виконання 96,20%;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31 346,53 грн, виконання 73,69%;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придбання предметів, матеріалів, обладнання та інвентарю – 146 215,79 грн, виконання 62,16%, на оплату послуг (крім комунальних) – 110 840,54 грн, виконання 45,93%, на інші поточні видатки – 37 288,00 грн, виконання 92,50%.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Оплачено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послуги друку оголошення, телекомунікаційні послуги, послуги з обслуговування та супроводу ПЗ "Дебет Плюс", послуги по супроводженню та обслуговуванню ПК "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Мiсцевий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бюджет", послуги технічної експлуатації та обслуговування електрообладнання будівлі,</w:t>
      </w:r>
      <w:r w:rsidRPr="00AF3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послуги оновлення до комп'ютерної програми "IS-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prо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", послуги постачання ПК «Програмний комплекс «Варта»,   послуги заправки та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вiдновлення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картриджiв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лазерного друку принтера, послуги по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розмiщенню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веб-сайту stepankivska.gr.org.ua, ремонт та техобслуговування транспортного засобу, послуги із страхування цивільно-правової відповідальності  власників транспортних засобів.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 xml:space="preserve">На утримання закладів освіти та центру професійного розвитку у бюджеті Степанківської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>2021 року заплановані кошти на  звітний період в сумі 22 675 809,00 грн, використано – 18 592 546,71 грн, що становить 81,99% до уточнених призначень. За рахунок освітньої субвенції видатки проведені на суму 9 333 306,69 грн при її надходженні в сумі 9 480 700,00 грн, залишок поточного року на кінець періоду складає 147 393,31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Станом на 01.07.2021року мережа дошкільних навчальних закладів становить 3 установи, планова чисельність працівників дошкільних навчальних закладів становить 61,15 од., фактично зайнято 53,65 од., вакансій – 7,5 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lastRenderedPageBreak/>
        <w:t xml:space="preserve">На утримання дошкільних навчальних закладів: фактично використано – </w:t>
      </w:r>
      <w:r w:rsidRPr="00AF3972">
        <w:rPr>
          <w:rFonts w:ascii="Times New Roman" w:hAnsi="Times New Roman"/>
          <w:color w:val="000000"/>
          <w:sz w:val="28"/>
          <w:szCs w:val="28"/>
        </w:rPr>
        <w:t xml:space="preserve">4 057 470,78 </w:t>
      </w:r>
      <w:r w:rsidRPr="00AF3972">
        <w:rPr>
          <w:rFonts w:ascii="Times New Roman" w:hAnsi="Times New Roman"/>
          <w:sz w:val="28"/>
          <w:szCs w:val="28"/>
        </w:rPr>
        <w:t>грн, при уточненому плані 5 116 632,00 грн, виконання плану становить 73%,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AF3972">
        <w:rPr>
          <w:rFonts w:ascii="Times New Roman" w:hAnsi="Times New Roman"/>
          <w:color w:val="000000"/>
          <w:sz w:val="28"/>
          <w:szCs w:val="28"/>
        </w:rPr>
        <w:t>2 978 267,42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89%;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нарахування на оплату праці – </w:t>
      </w:r>
      <w:r w:rsidRPr="00AF3972">
        <w:rPr>
          <w:rFonts w:ascii="Times New Roman" w:hAnsi="Times New Roman"/>
          <w:color w:val="000000"/>
          <w:sz w:val="28"/>
          <w:szCs w:val="28"/>
        </w:rPr>
        <w:t>599 607,17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82%;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предметів, матеріалів, обладнання та інвентарю – </w:t>
      </w:r>
      <w:r w:rsidRPr="00AF3972">
        <w:rPr>
          <w:rFonts w:ascii="Times New Roman" w:hAnsi="Times New Roman"/>
          <w:color w:val="000000"/>
          <w:sz w:val="28"/>
          <w:szCs w:val="28"/>
        </w:rPr>
        <w:t>77123,47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11%;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продуктів харчування – </w:t>
      </w:r>
      <w:r w:rsidRPr="00AF3972">
        <w:rPr>
          <w:rFonts w:ascii="Times New Roman" w:hAnsi="Times New Roman"/>
          <w:color w:val="000000"/>
          <w:sz w:val="28"/>
          <w:szCs w:val="28"/>
        </w:rPr>
        <w:t xml:space="preserve">188903,05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33%;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оплату послуг – </w:t>
      </w:r>
      <w:r w:rsidRPr="00AF3972">
        <w:rPr>
          <w:rFonts w:ascii="Times New Roman" w:hAnsi="Times New Roman"/>
          <w:color w:val="000000"/>
          <w:sz w:val="28"/>
          <w:szCs w:val="28"/>
        </w:rPr>
        <w:t>15913,42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17%;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електроенергії – </w:t>
      </w:r>
      <w:r w:rsidRPr="00AF3972">
        <w:rPr>
          <w:rFonts w:ascii="Times New Roman" w:hAnsi="Times New Roman"/>
          <w:color w:val="000000"/>
          <w:sz w:val="28"/>
          <w:szCs w:val="28"/>
        </w:rPr>
        <w:t>119691,19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67%;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природного газу – </w:t>
      </w:r>
      <w:r w:rsidRPr="00AF3972">
        <w:rPr>
          <w:rFonts w:ascii="Times New Roman" w:hAnsi="Times New Roman"/>
          <w:color w:val="000000"/>
          <w:sz w:val="28"/>
          <w:szCs w:val="28"/>
        </w:rPr>
        <w:t>69658,79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29%;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інші поточні видатки – </w:t>
      </w:r>
      <w:r w:rsidRPr="00AF3972">
        <w:rPr>
          <w:rFonts w:ascii="Times New Roman" w:hAnsi="Times New Roman"/>
          <w:color w:val="000000"/>
          <w:sz w:val="28"/>
          <w:szCs w:val="28"/>
        </w:rPr>
        <w:t>8306,27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77%;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захищені видатки за звітний період спрямовано 1911720,36 грн, що складає 98% видатків за звітний період.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дитячих навчальних закладів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AF3972" w:rsidRPr="00AF3972" w:rsidTr="00AF3972">
        <w:trPr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2247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ДНЗ «Яблунька» с. Степанки</w:t>
            </w:r>
          </w:p>
        </w:tc>
        <w:tc>
          <w:tcPr>
            <w:tcW w:w="1985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ДНЗ «Берізка» с. Хацьки</w:t>
            </w:r>
          </w:p>
        </w:tc>
        <w:tc>
          <w:tcPr>
            <w:tcW w:w="2126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ЗДО «Сонечко» с. Голов’ятине</w:t>
            </w:r>
          </w:p>
        </w:tc>
        <w:tc>
          <w:tcPr>
            <w:tcW w:w="1546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1331295,33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1346156,53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300815,56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2978267,42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288653,43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243561,92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67391,82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599607,17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29697,00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42052,97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2372,00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74121,97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93535,85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85166,34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10200,86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188903,05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11002,42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7357,30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555,20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18914,92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44811,89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22942,44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51936,86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119691,19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69658,79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69658,79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590,00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7EB">
              <w:rPr>
                <w:rFonts w:ascii="Times New Roman" w:hAnsi="Times New Roman"/>
                <w:color w:val="000000"/>
              </w:rPr>
              <w:t>1180,00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4277,96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4028,31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8306,27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247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1803863,88</w:t>
            </w:r>
          </w:p>
        </w:tc>
        <w:tc>
          <w:tcPr>
            <w:tcW w:w="1985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1821514,6</w:t>
            </w:r>
          </w:p>
        </w:tc>
        <w:tc>
          <w:tcPr>
            <w:tcW w:w="212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433272,3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4058650,78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Станом на 01.07.2021року мережа закладів освіти складає 3 заклади загальної середньої освіти та 1 навчально-виховний комплекс, фактична чисельність працівників станом на 01.07.2021 року становить 133,7 од., при плані 151,4 од., вакансій 17,7 од.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закладів освіти фактично використано  – 14 076 821,64 грн, виконання 84,30%, при уточненому плані 16 698 840,00 грн,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AF3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10 739 821,19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94,20% 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2 508 573,00 грн, виконання 100%;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–152 821,26 грн, виконання 59,46%;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медикаментів -1005,76 грн, виконання 7,45%;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продуктів харчування – 275 899,54 грн, виконання 36,43%;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106 208,10 грн, виконання 35,3%;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відряджень – 480,00, виконання 12%;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122 324,87 грн, виконання 61,91%;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324 032,80 грн, виконання 44,55%;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 оплату інших енергоносіїв (придбання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пеллетів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) – 9600,00 грн, виконання 4,07%;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7357,44 грн, виконання – 66,89%;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виплати населенню – 86 824,00 грн, виконання 72,35%;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14 000,00 грн, виконання – 100%.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закладів освіти проведені видатки по КЕКВ, грн.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26"/>
        <w:gridCol w:w="1641"/>
        <w:gridCol w:w="1701"/>
        <w:gridCol w:w="2029"/>
        <w:gridCol w:w="1656"/>
        <w:gridCol w:w="1418"/>
      </w:tblGrid>
      <w:tr w:rsidR="00AF3972" w:rsidRPr="00AF3972" w:rsidTr="00AF3972">
        <w:trPr>
          <w:trHeight w:val="645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Степанківська ЗОШ І-ІІІ ст.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Хацьківська ЗОШ 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Головятинський ЗЗСО І-ІІ ст.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Залевківський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НВК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AF3972" w:rsidRPr="00AF3972" w:rsidTr="00AF3972">
        <w:trPr>
          <w:trHeight w:val="345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І-ІІІ ст. 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4099767,56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4173766,55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2093226,8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373060,28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10 739 821,19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886875,92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867185,06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409832,73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72552,97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2 236 446,68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44976,04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38669,26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57904,96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152 821,26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1 005,76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118122,54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125415,89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19993,7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12367,41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275 899,54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38470,82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27885,03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37668,3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2183,95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106 208,10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480,00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41127,96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35020,37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6153,95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122 324,87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185667,4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138365,4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324 032,80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9 600,00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1652,48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2714,96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2990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7 357,44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84824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86 824,00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9320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</w:tr>
      <w:tr w:rsidR="00AF3972" w:rsidRPr="00AF3972" w:rsidTr="00AF397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5505865,11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5436050,11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2657316,86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477589,56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14 076 821,64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На захищені видатки за звітний період спрямовано 13 795 954,84 грн, що складає 98% видатків за звітний період.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працівників: фактично використано – 457 074,29 грн, при уточненому плані 860 337,00 грн, виконання плану становить 53,13%,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358 327,94 грн, виконання 53,13%;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77 348,62 грн, виконання 63,98%;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предметів, матеріалів, обладнання та інвентарю –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16 755,00 грн, виконання 26,45%;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-на оплату послуг – 4 642,73 грн, виконання 6,57%.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здійсненні за кошти бюджету Степанківської сільської територіальної громади в сумі 173 810,55 грн, за рахунок іншої субвенції бюджетів територіальних громад в сумі 283 263,74 грн.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Дебіторської та кредиторської заборгованості по галузі «Освіта» станом на 01.07.2021року відсутня.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2000 «Охорона здоров’я»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охорони здоров’я  у бюджеті Степанківської сільської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заплановані кошти в сумі 335476,00 грн, використано – 304 995,94 грн,  що становить 90,91% до уточнених призначень.</w:t>
      </w:r>
    </w:p>
    <w:p w:rsidR="00AF3972" w:rsidRPr="00AF3972" w:rsidRDefault="00AF3972" w:rsidP="00AF3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215 476,00 грн, проведено видатки в сумі 185 654,66 грн на лікування хворих на цукровий діабет  інсуліном та нецукровий діабет десмопресином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аптеками.</w:t>
      </w:r>
    </w:p>
    <w:p w:rsidR="00AF3972" w:rsidRPr="00AF3972" w:rsidRDefault="00AF3972" w:rsidP="00AF3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відшкодування лікарських засобів за рецептами лікарів на пільговій основі жителям Степанківської сільської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профінансовано 120 000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AF3972" w:rsidRPr="00AF3972" w:rsidTr="00AF3972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AF3972" w:rsidRPr="00AF3972" w:rsidTr="00AF3972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план,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F3972" w:rsidRPr="006F455D" w:rsidRDefault="006F455D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F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півріччя </w:t>
            </w:r>
            <w:r w:rsidR="00AF3972"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2021, </w:t>
            </w:r>
            <w:proofErr w:type="spellStart"/>
            <w:r w:rsidR="00AF3972"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3972" w:rsidRPr="006F455D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="006F455D" w:rsidRPr="006F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півріччя </w:t>
            </w:r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2021 року, </w:t>
            </w:r>
            <w:proofErr w:type="spellStart"/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370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F3972" w:rsidRPr="00AF3972" w:rsidTr="00AF3972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304995,94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24195,62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90,91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заходи з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лікування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хворих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на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цукровий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нецукровий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діабет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185654,66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23536,90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86,16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виплати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215476,00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185654,66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23536,90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86,16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та заходи у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сфері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охорони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здоров’я</w:t>
            </w:r>
            <w:proofErr w:type="spellEnd"/>
          </w:p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119341,28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658,72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99,4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виплати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119341,28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658,72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99,4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3000 «Соціальний захист та соціальне забезпечення»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соціального захисту і соціального забезпечення у бюджеті Степанківської  сільської територіальної громади на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заплановані кошти в сумі 881 524,00 грн, використано – 709 570,52 грн, що становить 80,49% до уточнених призначень.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Центру надання соціальних послуг Степанківської сільської ради заплановані видатки в сумі 439 976,00 грн, профінансовано – 418 320,51 грн, що становить 95,08% до уточнених призначень.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AF3972" w:rsidRPr="00AF3972" w:rsidTr="00AF3972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вано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Залишки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асигнувань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періоду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 плану з початку року</w:t>
            </w:r>
          </w:p>
        </w:tc>
      </w:tr>
      <w:tr w:rsidR="00AF3972" w:rsidRPr="00AF3972" w:rsidTr="00AF3972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план,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B6482D" w:rsidRDefault="008C52E6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648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2021, </w:t>
            </w:r>
            <w:proofErr w:type="spellStart"/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B6482D" w:rsidRDefault="00B6482D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За </w:t>
            </w:r>
            <w:r w:rsidR="008C52E6" w:rsidRPr="00B648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2021 року, </w:t>
            </w:r>
            <w:proofErr w:type="spellStart"/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4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соціальне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1535431,00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881524,00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709570,52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117173,75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80,49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категоріям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 оплати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зв'язку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5051,19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6988,81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41,95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пільговий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проїзд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автомобільним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транспортом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категоріям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пільговий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проїзд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окремих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залізничному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транспорті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17344,92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57655,08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23,13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медичне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осіб,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постраждали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внаслідок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Чорнобильської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катастрофи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20682,00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8437,02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12244,98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Видатки на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поховання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бойових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дій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та осіб з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внаслідок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війни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AF3972" w:rsidRPr="00AF3972" w:rsidTr="00AF3972">
        <w:trPr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соціальних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гарантій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фізичним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особам,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надають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соціальні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громадянам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похилого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віку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особам з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інвалідністю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дітям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інвалідністю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хворим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здатні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самообслуговування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потребують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сторонньої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48810,00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30551,99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18258,01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2,59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25C51">
        <w:trPr>
          <w:trHeight w:val="55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особам з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на бензин, ремонт,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технічне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автомобілів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, мотоколясок і на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транспортне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83,96 %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0213241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Забезпечення діяльності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закладів у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877622,00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439976,00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418320,51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21655,49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5,08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709526,00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339444,61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11355,39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6,76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156096,00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77176,00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74590,90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96,65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матеріали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AF3972" w:rsidRPr="00AF3972" w:rsidTr="00AF397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заходи у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соціального</w:t>
            </w:r>
            <w:proofErr w:type="spellEnd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По галузі «Культура» видатки за звітний період використані в сумі 1 163 573,07 грн при уточненому плані 1 804 050,00 грн, що становить 64,50%.  За рахунок цих коштів утримується 5 установ. Фактична чисельність працівників станом на 01.07.2021 року становить 17 од., при штатній чисельності – 20 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КЗ «Степанківська центральна публічна бібліотека»;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Голов’ятинська сільська бібліотека;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Малобузуківська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бібліотека;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Залевківська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бібліотека.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бібліотек за </w:t>
      </w:r>
      <w:r w:rsidR="0035234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5234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5234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використано коштів – 267 180,74 грн, виконання становить 71,79% при уточненому плані 372151,00 грн,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AF3972" w:rsidRPr="00AF3972" w:rsidTr="00AF3972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Уточнений план,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AF3972" w:rsidRPr="00AF3972" w:rsidTr="00AF3972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52341" w:rsidRDefault="00352341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35234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35234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52341" w:rsidRDefault="00F42897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За </w:t>
            </w:r>
            <w:r w:rsidR="00352341" w:rsidRPr="0035234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35234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 року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251808,00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183986,55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67821,45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55398,00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43172,64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12225,36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матеріали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36098,51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16216,49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послуг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крім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3923,04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8706,96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31,06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Хацьки;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будинок культури;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клуб;</w:t>
      </w:r>
    </w:p>
    <w:p w:rsidR="00AF3972" w:rsidRPr="00AF3972" w:rsidRDefault="00AF3972" w:rsidP="00AF3972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Залевківський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клуб.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будинків культури, сільських клубів за 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25C5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використано коштів – 896  392,33 грн,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при уточненому плані 1431899,00 грн, що становить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62,60%, в тому числі:</w:t>
      </w:r>
    </w:p>
    <w:tbl>
      <w:tblPr>
        <w:tblW w:w="9143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AF3972" w:rsidRPr="00AF3972" w:rsidTr="00EE67EB">
        <w:trPr>
          <w:trHeight w:val="2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Уточнений план,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асигнувань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кінця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періоду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%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до плану з початку року</w:t>
            </w:r>
          </w:p>
        </w:tc>
      </w:tr>
      <w:tr w:rsidR="00AF3972" w:rsidRPr="00AF3972" w:rsidTr="00EE67EB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25C51" w:rsidRDefault="00A25C51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25C5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25C51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За </w:t>
            </w:r>
            <w:r w:rsidR="00A25C51" w:rsidRPr="00A25C5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 року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1412975,00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723575,00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555920,16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167654,84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оплату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праці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10952,00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159283,00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123473,42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35809,58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402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матеріали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35681,58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0768.42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70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послуг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крім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комунальних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12640,06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91439,94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Оплата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232561,00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97188,75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135372,25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41,79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141450,00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66988,36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74461,64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47,36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поточні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закладів культури проведені видатки по КЕКВ, грн.</w:t>
      </w: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844"/>
        <w:gridCol w:w="1287"/>
        <w:gridCol w:w="1324"/>
        <w:gridCol w:w="1602"/>
        <w:gridCol w:w="1576"/>
        <w:gridCol w:w="1472"/>
        <w:gridCol w:w="1327"/>
      </w:tblGrid>
      <w:tr w:rsidR="00AF3972" w:rsidRPr="00AF3972" w:rsidTr="00AF3972">
        <w:trPr>
          <w:trHeight w:val="1284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с.Степанки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Будинок культури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с.Хацьки</w:t>
            </w:r>
            <w:proofErr w:type="spellEnd"/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Будинок культури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с.Голов’ятине</w:t>
            </w:r>
            <w:proofErr w:type="spellEnd"/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Залевківський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сільський клуб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Мало-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бузуківський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сільський клуб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222780,17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185783,26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bookmarkStart w:id="0" w:name="_GoBack"/>
            <w:bookmarkEnd w:id="0"/>
            <w:permStart w:id="1163265375" w:edGrp="everyone"/>
            <w:permEnd w:id="1163265375"/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89765,64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30943,00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26648,09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555920,16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47071,42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37665,05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24416,91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8457,46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5862,58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123473,42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17306,08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18375,50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35681,58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7082,58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3614,74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1276,60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333,12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333,02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12640,06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74060,28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6528,11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9812,70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1925,07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4862,59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97188,75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66988,36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66988,36</w:t>
            </w:r>
          </w:p>
        </w:tc>
      </w:tr>
      <w:tr w:rsidR="00AF3972" w:rsidRPr="00AF3972" w:rsidTr="00AC2800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4500,00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368300,53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323455,02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125271,85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41658,65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37706,28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896392,33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КПКВКМБ 5000 «Фізична культура і спорт»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4"/>
          <w:lang w:eastAsia="ru-RU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 33 973,00 грн на 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25C5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4"/>
          <w:lang w:eastAsia="ru-RU"/>
        </w:rPr>
        <w:t xml:space="preserve">2021 року,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профінансовано 23 740,00 грн, що становить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69,88%, в тому числі: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AF3972" w:rsidRPr="00AF3972" w:rsidTr="00AF3972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Залишки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асигнувань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кінця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періоду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% </w:t>
            </w: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до плану з початку року</w:t>
            </w:r>
          </w:p>
        </w:tc>
      </w:tr>
      <w:tr w:rsidR="00AF3972" w:rsidRPr="00AF3972" w:rsidTr="00AF3972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</w:t>
            </w:r>
            <w:proofErr w:type="spellEnd"/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D7A31" w:rsidRDefault="003D7A31" w:rsidP="003D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7A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D7A31" w:rsidRDefault="00AF3972" w:rsidP="003D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="003D7A31" w:rsidRPr="003D7A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 півріччя</w:t>
            </w:r>
            <w:r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29,08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86,83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Для виконання робіт благоустрою населених пунктів за звітний період використані кошти в сумі 881 341,17 грн при уточненому плані 1 616 011,00 грн, що становить 54,54%.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Серед напрямків фінансування - оплата праці та нарахування робітників робочої групи з благоустрою, зокрема: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заробітну плату – 285 252,28 грн, виконання 90,66%;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60 978,15 грн, виконання 88,09%;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придбання бензопил, електролічильників, господарчих товарів, запчастин, дорожнього обладнання, мастильних матеріалів, бензину використано кошти в сумі 53 473,27 грн, виконання 27,14%;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Отримано послуги з  прибирання снігу, ремонту та технічного обслуговування мережі</w:t>
      </w:r>
      <w:r w:rsidRPr="00AF397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вуличного освітлення,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техперевірки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1-ф лічильників електричної  енергії в сумі 128 813,30 грн, виконання 44,04%.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електроенергії (вуличного освітлення) – 215 309,17 грн, виконання 54,92%.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утримання об’єктів соціальної сфери підприємств, що передаються до комунальної власності  використано – 137 515,00 грн, в тому числі: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12 488,25 грн, виконання 35,78%;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93 779,38 грн, виконання 45,58%;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29 847,37 грн, виконання 29,38%;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1400,00 грн, виконання 100%.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та розвиток автомобільних доріг та дорожньої інфраструктури за рахунок коштів місцевого бюджету використано – 93 789,00 грн, зокрема здійснено ремонт доріг по вул.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М.Негоди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Бузуків та вул.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Холодноярська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Хацьки.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реалізацію програм та заходів в галузі туризму та курортів спрямовано кошти в сумі 49 383,00 грн, виконання становить 98,96%. Були придбані спальники, намети та рюкзаки туристичні.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КПКВКМБ 0218130 «Забезпечення діяльності місцевої пожежної охорони»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7F35D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на утримання Місцевої пожежної охорони фактично проведенні  видатки в сумі 878 558,17 грн, виконання плану становить 6</w:t>
      </w:r>
      <w:r w:rsidRPr="00AF3972">
        <w:rPr>
          <w:rFonts w:ascii="Times New Roman" w:eastAsia="Times New Roman" w:hAnsi="Times New Roman"/>
          <w:sz w:val="28"/>
          <w:szCs w:val="28"/>
          <w:lang w:val="ru-RU" w:eastAsia="ru-RU"/>
        </w:rPr>
        <w:t>8,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5% до призначень на період з урахуванням змін, а саме: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677 448,18 грн, нарахування – 146 966,23 грн, виконання 74,3%. Фактична чисельність працівників становить 14 од. при плановій чисельності 14 од.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(дизельне паливо, оливу індустріальну, фільтр масляний, запчастини, рукава пожежні, бензин) – 39 855,94 грн, виконання 29,74%: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AF3972" w:rsidRPr="00AF3972" w:rsidTr="00AF3972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14700,00 </w:t>
            </w: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Дизельне</w:t>
            </w:r>
            <w:proofErr w:type="spellEnd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паливо</w:t>
            </w:r>
            <w:proofErr w:type="spellEnd"/>
          </w:p>
        </w:tc>
      </w:tr>
      <w:tr w:rsidR="00AF3972" w:rsidRPr="00AF3972" w:rsidTr="00AF3972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1377,84 </w:t>
            </w: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Олива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індустріальна</w:t>
            </w:r>
          </w:p>
        </w:tc>
      </w:tr>
      <w:tr w:rsidR="00AF3972" w:rsidRPr="00AF3972" w:rsidTr="00AF3972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90,10 </w:t>
            </w: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Фільтр</w:t>
            </w:r>
            <w:proofErr w:type="spellEnd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138,00 </w:t>
            </w: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Запчастини</w:t>
            </w:r>
            <w:proofErr w:type="spellEnd"/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Рукава пожежні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Оприскувач </w:t>
            </w:r>
            <w:proofErr w:type="spellStart"/>
            <w:r w:rsidRPr="00AF39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Fermer</w:t>
            </w:r>
            <w:proofErr w:type="spellEnd"/>
            <w:r w:rsidRPr="00AF39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16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12750,00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А-92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14 287,82 грн, виконання 64,36%, зокрема: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AF3972" w:rsidRPr="00AF3972" w:rsidTr="00AF3972">
        <w:trPr>
          <w:trHeight w:val="1050"/>
          <w:jc w:val="center"/>
        </w:trPr>
        <w:tc>
          <w:tcPr>
            <w:tcW w:w="2263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3736,00 грн</w:t>
            </w:r>
          </w:p>
        </w:tc>
        <w:tc>
          <w:tcPr>
            <w:tcW w:w="4395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  <w:tr w:rsidR="00AF3972" w:rsidRPr="00AF3972" w:rsidTr="00AF3972">
        <w:trPr>
          <w:trHeight w:val="365"/>
          <w:jc w:val="center"/>
        </w:trPr>
        <w:tc>
          <w:tcPr>
            <w:tcW w:w="2263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4551,82 грн</w:t>
            </w:r>
          </w:p>
        </w:tc>
        <w:tc>
          <w:tcPr>
            <w:tcW w:w="4395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огляд працівників</w:t>
            </w:r>
          </w:p>
        </w:tc>
      </w:tr>
      <w:tr w:rsidR="00AF3972" w:rsidRPr="00AF3972" w:rsidTr="00AF3972">
        <w:trPr>
          <w:trHeight w:val="413"/>
          <w:jc w:val="center"/>
        </w:trPr>
        <w:tc>
          <w:tcPr>
            <w:tcW w:w="2263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6000,00 грн</w:t>
            </w:r>
          </w:p>
        </w:tc>
        <w:tc>
          <w:tcPr>
            <w:tcW w:w="4395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Оренда приміщень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878 558,17 грн.  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За  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7F35D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>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480 000,00 грн.</w:t>
      </w:r>
    </w:p>
    <w:p w:rsidR="00AF3972" w:rsidRPr="00AF3972" w:rsidRDefault="00AF3972" w:rsidP="00AF39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AF3972">
        <w:rPr>
          <w:sz w:val="28"/>
          <w:szCs w:val="28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сумі 468 761,05 грн, за рахунок власних коштів бюджету громади в сумі 409979,12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Впродовж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 бюджету Степанківської сільської територіальної громади іншим бюджетам перераховано 1 148 667,00 грн</w:t>
      </w:r>
      <w:r w:rsidRPr="00AF3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міжбюджетних трансферів.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перераховані: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працівників позашкільного закладу Центру дитячої та юнацької творчості в сумі  - 31 820,00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оплату тренера по футболу  та придбання спортивного інвентарю, спортивної форми в сумі – 151 812,00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проведення медичних оглядів військовозобов’язаних та призовників для КНП «Черкаська центральна районна лікарня» в сумі – 27 243,00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утримання КУ «Інклюзивно-ресурсний центр» Червонослобідської сільської ради в сумі – 10 880,00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оплату енергоносіїв для КНП «Черкаська центральна районна лікарня» в сумі – 100 000,00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КНП «Смілянський районний центр первинної медико-санітарної допомоги» в сумі – 76 096,00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у 2021 році КНП «Смілянська багатопрофільна лікарня ім. Софії Бобринської» в сумі – 58 460,00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КНП «Черкаська центральна районна лікарня» в сумі – 178 915,00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323 700,00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F3972">
        <w:rPr>
          <w:rFonts w:ascii="Times New Roman" w:hAnsi="Times New Roman"/>
          <w:sz w:val="28"/>
          <w:szCs w:val="28"/>
        </w:rPr>
        <w:t xml:space="preserve"> підтримку у 2021 році КНП «Черкаський районний центр первинної медико-санітарної допомоги» в сумі – 189 741,00 грн.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left="1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розвитку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01.01.2021 року залишок коштів на спеціальному рахунку бюджету по бюджету розвитку становив 3866,84 грн. За 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до бюджету розвитку фактично надійшло 1 420 708,29грн, за рахунок коштів переданих із загального фонду бюджету до бюджету розвитку спеціального фонду.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бюджету розвитку спеціального фонду протягом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видатки проведені на суму 1 420 708,29 грн.</w:t>
      </w:r>
    </w:p>
    <w:p w:rsidR="00AF3972" w:rsidRPr="00AF3972" w:rsidRDefault="00AF3972" w:rsidP="00AF397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Приріст капітальних видатків місцевих бюджетів</w:t>
      </w:r>
    </w:p>
    <w:p w:rsidR="00AF3972" w:rsidRPr="00AF3972" w:rsidRDefault="00AF3972" w:rsidP="00AF3972">
      <w:pPr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6045" wp14:editId="50891E2B">
                <wp:simplePos x="0" y="0"/>
                <wp:positionH relativeFrom="margin">
                  <wp:posOffset>2653665</wp:posOffset>
                </wp:positionH>
                <wp:positionV relativeFrom="paragraph">
                  <wp:posOffset>127635</wp:posOffset>
                </wp:positionV>
                <wp:extent cx="771525" cy="304800"/>
                <wp:effectExtent l="0" t="0" r="4762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curved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649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08.95pt;margin-top:10.05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" adj="17333,20533,16200" fillcolor="#a9d18e" strokecolor="#7f7f7f" strokeweight="1pt">
                <w10:wrap anchorx="margin"/>
              </v:shape>
            </w:pict>
          </mc:Fallback>
        </mc:AlternateContent>
      </w: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7572F10" wp14:editId="26B551AE">
            <wp:extent cx="4295775" cy="2809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по головному розпоряднику коштів Виконавчий комітет Степанківської сільської ради </w:t>
      </w:r>
      <w:r w:rsidRPr="00AF3972">
        <w:rPr>
          <w:rFonts w:ascii="Times New Roman" w:hAnsi="Times New Roman"/>
          <w:sz w:val="28"/>
          <w:szCs w:val="28"/>
        </w:rPr>
        <w:t>(КПКВКМБ 0210160) видатки спеціального фонду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склали 25 800,00 грн (придбання</w:t>
      </w:r>
      <w:r w:rsidRPr="00AF3972">
        <w:rPr>
          <w:rFonts w:ascii="Times New Roman" w:hAnsi="Times New Roman"/>
          <w:sz w:val="28"/>
          <w:szCs w:val="28"/>
        </w:rPr>
        <w:t xml:space="preserve"> багатофункціональних лазерних пристроїв С</w:t>
      </w:r>
      <w:r w:rsidRPr="00AF3972">
        <w:rPr>
          <w:rFonts w:ascii="Times New Roman" w:hAnsi="Times New Roman"/>
          <w:sz w:val="28"/>
          <w:szCs w:val="28"/>
          <w:lang w:val="en-US"/>
        </w:rPr>
        <w:t>anon</w:t>
      </w:r>
      <w:r w:rsidRPr="00AF3972">
        <w:rPr>
          <w:rFonts w:ascii="Times New Roman" w:hAnsi="Times New Roman"/>
          <w:sz w:val="28"/>
          <w:szCs w:val="28"/>
        </w:rPr>
        <w:t xml:space="preserve"> </w:t>
      </w:r>
      <w:r w:rsidRPr="00AF3972">
        <w:rPr>
          <w:rFonts w:ascii="Times New Roman" w:hAnsi="Times New Roman"/>
          <w:sz w:val="28"/>
          <w:szCs w:val="28"/>
          <w:lang w:val="en-US"/>
        </w:rPr>
        <w:t>MF</w:t>
      </w:r>
      <w:r w:rsidRPr="00AF3972">
        <w:rPr>
          <w:rFonts w:ascii="Times New Roman" w:hAnsi="Times New Roman"/>
          <w:sz w:val="28"/>
          <w:szCs w:val="28"/>
        </w:rPr>
        <w:t>237</w:t>
      </w:r>
      <w:r w:rsidRPr="00AF3972">
        <w:rPr>
          <w:rFonts w:ascii="Times New Roman" w:hAnsi="Times New Roman"/>
          <w:sz w:val="28"/>
          <w:szCs w:val="28"/>
          <w:lang w:val="en-US"/>
        </w:rPr>
        <w:t>w</w:t>
      </w:r>
      <w:r w:rsidRPr="00AF3972">
        <w:rPr>
          <w:rFonts w:ascii="Times New Roman" w:hAnsi="Times New Roman"/>
          <w:sz w:val="28"/>
          <w:szCs w:val="28"/>
        </w:rPr>
        <w:t>.АП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головному розпоряднику коштів Фінансовий відділ Степанківської сільської ради </w:t>
      </w:r>
      <w:r w:rsidRPr="00AF3972">
        <w:rPr>
          <w:rFonts w:ascii="Times New Roman" w:hAnsi="Times New Roman"/>
          <w:sz w:val="28"/>
          <w:szCs w:val="28"/>
        </w:rPr>
        <w:t>(КПКВКМБ 3710160)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видатки було здійснено в сумі 12 600,00 грн,  (</w:t>
      </w:r>
      <w:r w:rsidRPr="00AF3972">
        <w:rPr>
          <w:rFonts w:ascii="Times New Roman" w:hAnsi="Times New Roman"/>
          <w:sz w:val="28"/>
          <w:szCs w:val="28"/>
        </w:rPr>
        <w:t>придбання  персонального комп’ютера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закладів освіти у бюджеті Степанківської сільської територіальної громади 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заплановані кошти в сумі 2 425 600,00 грн, використано – 155 161,10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закладів дошкільної освіти за рахунок коштів спеціального фонду було придбано багатофункціональний пристрій вартістю 8 600,00 грн та шафу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жарочну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електричну – 25 000,00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 закладів загальної середньої освіти 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по КПКВКМБ 0211021 становлять 11 999,00 грн. (телевізор) та по КПКВКМБ 0211061 – 95 687,58 грн (виготовлення проектно-кошторисної документації), 13 874,52 грн (експертиза проекту будівництва).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В галузі «Культура і мистецтво» видатки  спеціального фонду за звітний період склали 35 695,00 грн  при уточненому плані 36 000,00 грн, що становить 99,15%. За бюджетною програмою КПКВКМБ 0214060 «Забезпечення діяльності палаців i будинків культури, клубів, центрів дозвілля та iнших клубних закладів» для будинку культури с. Степанки було придбано плазмовий телевізор на суму 9 995,00 грн та металопластикові конструкції – 25700,00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КПКВКМБ 6000 «Житлово-комунальне господарство»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0216030 «Організація благоустрою населених пунктів» за звітний період використано кошти в сумі 76 497,00 грн при уточненому плані 178 500,00 грн, що становить 42,86% виконання: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624"/>
        <w:gridCol w:w="5620"/>
      </w:tblGrid>
      <w:tr w:rsidR="00AF3972" w:rsidRPr="00AF3972" w:rsidTr="00AF3972">
        <w:tc>
          <w:tcPr>
            <w:tcW w:w="2693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31 497,00 грн</w:t>
            </w:r>
          </w:p>
        </w:tc>
        <w:tc>
          <w:tcPr>
            <w:tcW w:w="5777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Мотокоси</w:t>
            </w:r>
          </w:p>
        </w:tc>
      </w:tr>
      <w:tr w:rsidR="00AF3972" w:rsidRPr="00AF3972" w:rsidTr="00AF3972">
        <w:tc>
          <w:tcPr>
            <w:tcW w:w="2693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45 000,00 грн</w:t>
            </w:r>
          </w:p>
        </w:tc>
        <w:tc>
          <w:tcPr>
            <w:tcW w:w="5777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Комплекти відеоспостереження з підключенням та налаштуванням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програмою КПКВКМБ 0217330 «Будівництво інших об’єктів комунальної власності» видатки  спеціального фонду за звітний період склали 695 055,19 грн  при уточненому плані 782 900,00 грн, що становить 88,78% виконання. На капітальний ремонт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адмінбудівлі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Степанківської сільської ради спрямовано кошти в сумі 667 305,19 грн, технагляд – 6 750,00 грн, розробка робочих проектів на технічне переоснащення мережі вуличного освітлення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с.Хацьки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, с.Степанки – 21 000,00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програмою КПКВКМБ 0218311 «Охорона та раціональне використання природних ресурсів» видатки  спеціального фонду за звітний період склали 49 900,00 грн (виготовлення технічної документації з нормативно грошової оцінки земель с. Голов’ятине, с. Гуляйгородок, </w:t>
      </w:r>
      <w:proofErr w:type="spellStart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с.Малий</w:t>
      </w:r>
      <w:proofErr w:type="spellEnd"/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Бузуків)  при уточненому плані 49 900,00 грн, виконання 100%.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0219800 «Субвенція з місцевого бюджету державному бюджету на виконання програм соціально-економічного розвитку регіонів» видатки  спеціального фонду за звітний період склали 370 000,00  грн (субвенція на придбання службового автомобіля)  при уточненому плані 370 000,00 грн, виконання 100%.</w:t>
      </w:r>
    </w:p>
    <w:p w:rsidR="00AC3DBE" w:rsidRPr="00CF103B" w:rsidRDefault="00AC3DB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427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C9" w:rsidRDefault="005908C9" w:rsidP="00F83F8C">
      <w:pPr>
        <w:spacing w:after="0" w:line="240" w:lineRule="auto"/>
      </w:pPr>
      <w:r>
        <w:separator/>
      </w:r>
    </w:p>
  </w:endnote>
  <w:endnote w:type="continuationSeparator" w:id="0">
    <w:p w:rsidR="005908C9" w:rsidRDefault="005908C9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A25C51" w:rsidRDefault="00A25C5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3A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25C51" w:rsidRDefault="00A25C5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C9" w:rsidRDefault="005908C9" w:rsidP="00F83F8C">
      <w:pPr>
        <w:spacing w:after="0" w:line="240" w:lineRule="auto"/>
      </w:pPr>
      <w:r>
        <w:separator/>
      </w:r>
    </w:p>
  </w:footnote>
  <w:footnote w:type="continuationSeparator" w:id="0">
    <w:p w:rsidR="005908C9" w:rsidRDefault="005908C9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/20giBd2MNnqM/wCKQBv+UMOxXwCidS+Z8hJQ8DnCoT3fFR00bF/EMVWkPNQnEWustvGLNrAcz9IetGILTgvw==" w:salt="8GVhkggN56pK6OWh7UYJ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46712"/>
    <w:rsid w:val="00051361"/>
    <w:rsid w:val="00052F29"/>
    <w:rsid w:val="00061991"/>
    <w:rsid w:val="00067C6A"/>
    <w:rsid w:val="00072168"/>
    <w:rsid w:val="00073BFE"/>
    <w:rsid w:val="00073E2F"/>
    <w:rsid w:val="00084AA1"/>
    <w:rsid w:val="00084DE1"/>
    <w:rsid w:val="0009095A"/>
    <w:rsid w:val="000940F0"/>
    <w:rsid w:val="00094578"/>
    <w:rsid w:val="000A2A9A"/>
    <w:rsid w:val="000A53B1"/>
    <w:rsid w:val="000A59F5"/>
    <w:rsid w:val="000C5EA5"/>
    <w:rsid w:val="000D13EA"/>
    <w:rsid w:val="000D3DE5"/>
    <w:rsid w:val="000D43E9"/>
    <w:rsid w:val="000D5810"/>
    <w:rsid w:val="000D5883"/>
    <w:rsid w:val="000D5E5C"/>
    <w:rsid w:val="000D7EF3"/>
    <w:rsid w:val="000E0ABE"/>
    <w:rsid w:val="000E246A"/>
    <w:rsid w:val="000E702B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50371"/>
    <w:rsid w:val="0015040E"/>
    <w:rsid w:val="001522D5"/>
    <w:rsid w:val="00154131"/>
    <w:rsid w:val="001559A8"/>
    <w:rsid w:val="00161AD6"/>
    <w:rsid w:val="00166BF4"/>
    <w:rsid w:val="00173CCD"/>
    <w:rsid w:val="00180D9C"/>
    <w:rsid w:val="001828AC"/>
    <w:rsid w:val="00182E47"/>
    <w:rsid w:val="001932A2"/>
    <w:rsid w:val="001A579A"/>
    <w:rsid w:val="001A59C2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15940"/>
    <w:rsid w:val="00230CDD"/>
    <w:rsid w:val="00236800"/>
    <w:rsid w:val="00242BB0"/>
    <w:rsid w:val="00250419"/>
    <w:rsid w:val="002538DB"/>
    <w:rsid w:val="00254A7D"/>
    <w:rsid w:val="002572F6"/>
    <w:rsid w:val="00257AA6"/>
    <w:rsid w:val="00261843"/>
    <w:rsid w:val="00266FCD"/>
    <w:rsid w:val="00271B31"/>
    <w:rsid w:val="00271ECE"/>
    <w:rsid w:val="002743BD"/>
    <w:rsid w:val="00275FEE"/>
    <w:rsid w:val="00282A7E"/>
    <w:rsid w:val="00291C71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2947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33498"/>
    <w:rsid w:val="003403C9"/>
    <w:rsid w:val="00340D8D"/>
    <w:rsid w:val="003429F1"/>
    <w:rsid w:val="00342D72"/>
    <w:rsid w:val="0034382B"/>
    <w:rsid w:val="00352341"/>
    <w:rsid w:val="00357B3A"/>
    <w:rsid w:val="00363B20"/>
    <w:rsid w:val="003648F9"/>
    <w:rsid w:val="0037691E"/>
    <w:rsid w:val="003825C1"/>
    <w:rsid w:val="00384D48"/>
    <w:rsid w:val="00395323"/>
    <w:rsid w:val="003977F7"/>
    <w:rsid w:val="003A0C17"/>
    <w:rsid w:val="003A54B7"/>
    <w:rsid w:val="003A5B45"/>
    <w:rsid w:val="003A6F9D"/>
    <w:rsid w:val="003A7414"/>
    <w:rsid w:val="003B3E8D"/>
    <w:rsid w:val="003B41F9"/>
    <w:rsid w:val="003B67DD"/>
    <w:rsid w:val="003D0188"/>
    <w:rsid w:val="003D397A"/>
    <w:rsid w:val="003D7A31"/>
    <w:rsid w:val="003E1045"/>
    <w:rsid w:val="003E2C22"/>
    <w:rsid w:val="003E4A19"/>
    <w:rsid w:val="003E604D"/>
    <w:rsid w:val="003E69DC"/>
    <w:rsid w:val="003F4E0F"/>
    <w:rsid w:val="003F665D"/>
    <w:rsid w:val="003F7992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169B"/>
    <w:rsid w:val="004A32A4"/>
    <w:rsid w:val="004B06DC"/>
    <w:rsid w:val="004B0BD1"/>
    <w:rsid w:val="004B2677"/>
    <w:rsid w:val="004B2F7A"/>
    <w:rsid w:val="004B711C"/>
    <w:rsid w:val="004C07D6"/>
    <w:rsid w:val="004C0E72"/>
    <w:rsid w:val="004C2D7E"/>
    <w:rsid w:val="004C6D17"/>
    <w:rsid w:val="004D23AF"/>
    <w:rsid w:val="004D264F"/>
    <w:rsid w:val="004E04C3"/>
    <w:rsid w:val="004E4DB1"/>
    <w:rsid w:val="004F4AC5"/>
    <w:rsid w:val="004F7FB5"/>
    <w:rsid w:val="00500E1D"/>
    <w:rsid w:val="00501961"/>
    <w:rsid w:val="00501BEA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1A2B"/>
    <w:rsid w:val="0053605F"/>
    <w:rsid w:val="00542CB0"/>
    <w:rsid w:val="00544703"/>
    <w:rsid w:val="00545B36"/>
    <w:rsid w:val="00546E64"/>
    <w:rsid w:val="0054757A"/>
    <w:rsid w:val="005506E5"/>
    <w:rsid w:val="0055235A"/>
    <w:rsid w:val="005529CC"/>
    <w:rsid w:val="005549C7"/>
    <w:rsid w:val="005553ED"/>
    <w:rsid w:val="00564399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08C9"/>
    <w:rsid w:val="005919E5"/>
    <w:rsid w:val="005A1D91"/>
    <w:rsid w:val="005A1DE7"/>
    <w:rsid w:val="005B5EC6"/>
    <w:rsid w:val="005C22BF"/>
    <w:rsid w:val="005C36B8"/>
    <w:rsid w:val="005C737E"/>
    <w:rsid w:val="005F4A3D"/>
    <w:rsid w:val="005F67F5"/>
    <w:rsid w:val="005F7E87"/>
    <w:rsid w:val="00600801"/>
    <w:rsid w:val="006023CC"/>
    <w:rsid w:val="00602BB4"/>
    <w:rsid w:val="00614AE5"/>
    <w:rsid w:val="00617E24"/>
    <w:rsid w:val="00620404"/>
    <w:rsid w:val="00620EC8"/>
    <w:rsid w:val="00624DA8"/>
    <w:rsid w:val="00630865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7F1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6F455D"/>
    <w:rsid w:val="00711036"/>
    <w:rsid w:val="00713A2E"/>
    <w:rsid w:val="0071461F"/>
    <w:rsid w:val="007278F5"/>
    <w:rsid w:val="007309AA"/>
    <w:rsid w:val="0073670E"/>
    <w:rsid w:val="007378CD"/>
    <w:rsid w:val="007404F2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7E5E"/>
    <w:rsid w:val="007E4910"/>
    <w:rsid w:val="007F35DF"/>
    <w:rsid w:val="007F4EBE"/>
    <w:rsid w:val="007F665C"/>
    <w:rsid w:val="00800374"/>
    <w:rsid w:val="0081254F"/>
    <w:rsid w:val="00814DFD"/>
    <w:rsid w:val="00816CAF"/>
    <w:rsid w:val="00820B41"/>
    <w:rsid w:val="00821A75"/>
    <w:rsid w:val="00826879"/>
    <w:rsid w:val="00835C99"/>
    <w:rsid w:val="00835D10"/>
    <w:rsid w:val="008417F1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92BE9"/>
    <w:rsid w:val="00895868"/>
    <w:rsid w:val="008A3074"/>
    <w:rsid w:val="008A5965"/>
    <w:rsid w:val="008B0136"/>
    <w:rsid w:val="008B24A4"/>
    <w:rsid w:val="008B33A9"/>
    <w:rsid w:val="008B3AC5"/>
    <w:rsid w:val="008C0637"/>
    <w:rsid w:val="008C12B0"/>
    <w:rsid w:val="008C26DF"/>
    <w:rsid w:val="008C52E6"/>
    <w:rsid w:val="008D16E6"/>
    <w:rsid w:val="008D5BB0"/>
    <w:rsid w:val="008E29EF"/>
    <w:rsid w:val="008E376D"/>
    <w:rsid w:val="008E5AB6"/>
    <w:rsid w:val="008E6DC1"/>
    <w:rsid w:val="008F2754"/>
    <w:rsid w:val="008F2B11"/>
    <w:rsid w:val="008F3C35"/>
    <w:rsid w:val="008F3E45"/>
    <w:rsid w:val="008F4A26"/>
    <w:rsid w:val="00900E39"/>
    <w:rsid w:val="00902A68"/>
    <w:rsid w:val="00906B19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5AC9"/>
    <w:rsid w:val="0097436D"/>
    <w:rsid w:val="00976345"/>
    <w:rsid w:val="009765BC"/>
    <w:rsid w:val="00981205"/>
    <w:rsid w:val="00981999"/>
    <w:rsid w:val="0098295B"/>
    <w:rsid w:val="009844F9"/>
    <w:rsid w:val="00991CE2"/>
    <w:rsid w:val="00995B74"/>
    <w:rsid w:val="00997246"/>
    <w:rsid w:val="009979C8"/>
    <w:rsid w:val="009A4CB6"/>
    <w:rsid w:val="009A5B8E"/>
    <w:rsid w:val="009A74AA"/>
    <w:rsid w:val="009B1E43"/>
    <w:rsid w:val="009C2D3D"/>
    <w:rsid w:val="009C45CB"/>
    <w:rsid w:val="009C70E2"/>
    <w:rsid w:val="009D361D"/>
    <w:rsid w:val="009E149A"/>
    <w:rsid w:val="009F0351"/>
    <w:rsid w:val="00A02A38"/>
    <w:rsid w:val="00A1358B"/>
    <w:rsid w:val="00A148F1"/>
    <w:rsid w:val="00A15388"/>
    <w:rsid w:val="00A2155D"/>
    <w:rsid w:val="00A25C51"/>
    <w:rsid w:val="00A33A4F"/>
    <w:rsid w:val="00A34A16"/>
    <w:rsid w:val="00A34D9B"/>
    <w:rsid w:val="00A37BD9"/>
    <w:rsid w:val="00A52861"/>
    <w:rsid w:val="00A52FA4"/>
    <w:rsid w:val="00A53F85"/>
    <w:rsid w:val="00A54F84"/>
    <w:rsid w:val="00A55319"/>
    <w:rsid w:val="00A63317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2800"/>
    <w:rsid w:val="00AC3DBE"/>
    <w:rsid w:val="00AD1002"/>
    <w:rsid w:val="00AD5CB5"/>
    <w:rsid w:val="00AE76EE"/>
    <w:rsid w:val="00AF3972"/>
    <w:rsid w:val="00AF5D5D"/>
    <w:rsid w:val="00B03C5A"/>
    <w:rsid w:val="00B048B5"/>
    <w:rsid w:val="00B060BC"/>
    <w:rsid w:val="00B073AF"/>
    <w:rsid w:val="00B10F48"/>
    <w:rsid w:val="00B1470F"/>
    <w:rsid w:val="00B16A2C"/>
    <w:rsid w:val="00B2408F"/>
    <w:rsid w:val="00B3213A"/>
    <w:rsid w:val="00B34F19"/>
    <w:rsid w:val="00B3548B"/>
    <w:rsid w:val="00B37471"/>
    <w:rsid w:val="00B37DD1"/>
    <w:rsid w:val="00B4052F"/>
    <w:rsid w:val="00B41041"/>
    <w:rsid w:val="00B46267"/>
    <w:rsid w:val="00B5454A"/>
    <w:rsid w:val="00B572E0"/>
    <w:rsid w:val="00B57E23"/>
    <w:rsid w:val="00B63B18"/>
    <w:rsid w:val="00B6482D"/>
    <w:rsid w:val="00B700D2"/>
    <w:rsid w:val="00B71214"/>
    <w:rsid w:val="00B72C1A"/>
    <w:rsid w:val="00B73CEB"/>
    <w:rsid w:val="00B7419F"/>
    <w:rsid w:val="00B9646E"/>
    <w:rsid w:val="00BA09D9"/>
    <w:rsid w:val="00BA378E"/>
    <w:rsid w:val="00BA49F6"/>
    <w:rsid w:val="00BB3A69"/>
    <w:rsid w:val="00BB52DD"/>
    <w:rsid w:val="00BB7D07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1313D"/>
    <w:rsid w:val="00C26D77"/>
    <w:rsid w:val="00C33650"/>
    <w:rsid w:val="00C40DC5"/>
    <w:rsid w:val="00C4199C"/>
    <w:rsid w:val="00C47189"/>
    <w:rsid w:val="00C5078E"/>
    <w:rsid w:val="00C601A3"/>
    <w:rsid w:val="00C7283B"/>
    <w:rsid w:val="00C7416F"/>
    <w:rsid w:val="00C750B3"/>
    <w:rsid w:val="00C777CC"/>
    <w:rsid w:val="00C8194C"/>
    <w:rsid w:val="00C84DBF"/>
    <w:rsid w:val="00C913DF"/>
    <w:rsid w:val="00C96A78"/>
    <w:rsid w:val="00CA037E"/>
    <w:rsid w:val="00CA115A"/>
    <w:rsid w:val="00CA66AE"/>
    <w:rsid w:val="00CA75E6"/>
    <w:rsid w:val="00CB3426"/>
    <w:rsid w:val="00CB5A39"/>
    <w:rsid w:val="00CB79B5"/>
    <w:rsid w:val="00CC032C"/>
    <w:rsid w:val="00CC3D74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50C70"/>
    <w:rsid w:val="00D52E3F"/>
    <w:rsid w:val="00D52F0A"/>
    <w:rsid w:val="00D53D03"/>
    <w:rsid w:val="00D55FD2"/>
    <w:rsid w:val="00D60FD2"/>
    <w:rsid w:val="00D7704A"/>
    <w:rsid w:val="00D812D5"/>
    <w:rsid w:val="00D83C9E"/>
    <w:rsid w:val="00D85165"/>
    <w:rsid w:val="00D92C9D"/>
    <w:rsid w:val="00D97D63"/>
    <w:rsid w:val="00DA06D0"/>
    <w:rsid w:val="00DA1EFF"/>
    <w:rsid w:val="00DA34F6"/>
    <w:rsid w:val="00DB6B3E"/>
    <w:rsid w:val="00DD3515"/>
    <w:rsid w:val="00DD4121"/>
    <w:rsid w:val="00DD5416"/>
    <w:rsid w:val="00DE2545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2522"/>
    <w:rsid w:val="00E25BBD"/>
    <w:rsid w:val="00E26A71"/>
    <w:rsid w:val="00E31609"/>
    <w:rsid w:val="00E32CAD"/>
    <w:rsid w:val="00E33A0F"/>
    <w:rsid w:val="00E40354"/>
    <w:rsid w:val="00E41BA3"/>
    <w:rsid w:val="00E50107"/>
    <w:rsid w:val="00E66947"/>
    <w:rsid w:val="00E672B9"/>
    <w:rsid w:val="00E712F3"/>
    <w:rsid w:val="00E74602"/>
    <w:rsid w:val="00E750CF"/>
    <w:rsid w:val="00E7524B"/>
    <w:rsid w:val="00E81F4E"/>
    <w:rsid w:val="00E87CCE"/>
    <w:rsid w:val="00E94C65"/>
    <w:rsid w:val="00EA3292"/>
    <w:rsid w:val="00EA36A7"/>
    <w:rsid w:val="00EA5033"/>
    <w:rsid w:val="00EA59CC"/>
    <w:rsid w:val="00EA774E"/>
    <w:rsid w:val="00EB4B6F"/>
    <w:rsid w:val="00EB524F"/>
    <w:rsid w:val="00EB7899"/>
    <w:rsid w:val="00ED479E"/>
    <w:rsid w:val="00ED7D00"/>
    <w:rsid w:val="00EE358B"/>
    <w:rsid w:val="00EE42BD"/>
    <w:rsid w:val="00EE6721"/>
    <w:rsid w:val="00EE67EB"/>
    <w:rsid w:val="00EF1C1C"/>
    <w:rsid w:val="00EF470B"/>
    <w:rsid w:val="00F01F89"/>
    <w:rsid w:val="00F03E8C"/>
    <w:rsid w:val="00F131ED"/>
    <w:rsid w:val="00F15B78"/>
    <w:rsid w:val="00F32B40"/>
    <w:rsid w:val="00F34CB8"/>
    <w:rsid w:val="00F42897"/>
    <w:rsid w:val="00F43183"/>
    <w:rsid w:val="00F43583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8032E"/>
    <w:rsid w:val="00F83F8C"/>
    <w:rsid w:val="00F85A28"/>
    <w:rsid w:val="00F923BE"/>
    <w:rsid w:val="00F936F2"/>
    <w:rsid w:val="00FA4DAD"/>
    <w:rsid w:val="00FB2993"/>
    <w:rsid w:val="00FB3ECC"/>
    <w:rsid w:val="00FC465C"/>
    <w:rsid w:val="00FC63FC"/>
    <w:rsid w:val="00FD2601"/>
    <w:rsid w:val="00FD5E7F"/>
    <w:rsid w:val="00FD7872"/>
    <w:rsid w:val="00FE2D09"/>
    <w:rsid w:val="00FE5322"/>
    <w:rsid w:val="00FE700B"/>
    <w:rsid w:val="00FF14A7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23ED-2149-4B91-85D3-4D33B83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972"/>
  </w:style>
  <w:style w:type="numbering" w:customStyle="1" w:styleId="111">
    <w:name w:val="Нет списка11"/>
    <w:next w:val="a2"/>
    <w:uiPriority w:val="99"/>
    <w:semiHidden/>
    <w:unhideWhenUsed/>
    <w:rsid w:val="00AF3972"/>
  </w:style>
  <w:style w:type="paragraph" w:customStyle="1" w:styleId="13">
    <w:name w:val="Название1"/>
    <w:basedOn w:val="a"/>
    <w:next w:val="a"/>
    <w:link w:val="af5"/>
    <w:uiPriority w:val="10"/>
    <w:qFormat/>
    <w:rsid w:val="00AF39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13"/>
    <w:uiPriority w:val="10"/>
    <w:rsid w:val="00AF3972"/>
    <w:rPr>
      <w:rFonts w:ascii="Calibri Light" w:eastAsia="Times New Roman" w:hAnsi="Calibri Light" w:cs="Times New Roman"/>
      <w:spacing w:val="-10"/>
      <w:kern w:val="28"/>
      <w:sz w:val="56"/>
      <w:szCs w:val="56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AF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62"/>
          <c:y val="1.6713393495535207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0.15298203803630306"/>
                  <c:y val="4.3157094621264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півріччя 2021 року, 59,5%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0.14491667287289861"/>
                  <c:y val="-0.35910573679877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півріччя 2021 року, 40,5%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99420, 20,95%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341420, 71,93%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24829, 0,1%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1029,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691081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507447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574144"/>
        <c:axId val="205575680"/>
        <c:axId val="0"/>
      </c:bar3DChart>
      <c:catAx>
        <c:axId val="205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5680"/>
        <c:crosses val="autoZero"/>
        <c:auto val="1"/>
        <c:lblAlgn val="ctr"/>
        <c:lblOffset val="100"/>
        <c:noMultiLvlLbl val="0"/>
      </c:catAx>
      <c:valAx>
        <c:axId val="2055756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210777224275537E-2"/>
          <c:y val="0"/>
          <c:w val="0.89999978574106809"/>
          <c:h val="0.1555519431038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887744"/>
        <c:axId val="205905920"/>
        <c:axId val="0"/>
      </c:bar3DChart>
      <c:catAx>
        <c:axId val="2058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05920"/>
        <c:crosses val="autoZero"/>
        <c:auto val="1"/>
        <c:lblAlgn val="ctr"/>
        <c:lblOffset val="100"/>
        <c:noMultiLvlLbl val="0"/>
      </c:catAx>
      <c:valAx>
        <c:axId val="20590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8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-1.2138399712484123E-2"/>
                  <c:y val="-5.779648511677975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884030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885966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211775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142848"/>
        <c:axId val="206169216"/>
        <c:axId val="0"/>
      </c:bar3DChart>
      <c:catAx>
        <c:axId val="2061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69216"/>
        <c:crosses val="autoZero"/>
        <c:auto val="1"/>
        <c:lblAlgn val="ctr"/>
        <c:lblOffset val="100"/>
        <c:noMultiLvlLbl val="0"/>
      </c:catAx>
      <c:valAx>
        <c:axId val="206169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1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627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514468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0"/>
                  <c:y val="-6.825268636292261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493981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510040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308480"/>
        <c:axId val="206310016"/>
        <c:axId val="0"/>
      </c:bar3DChart>
      <c:catAx>
        <c:axId val="2063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10016"/>
        <c:crosses val="autoZero"/>
        <c:auto val="1"/>
        <c:lblAlgn val="ctr"/>
        <c:lblOffset val="100"/>
        <c:noMultiLvlLbl val="0"/>
      </c:catAx>
      <c:valAx>
        <c:axId val="206310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3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322593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19813739498778"/>
                  <c:y val="-7.0796724179969336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74176"/>
        <c:axId val="206692352"/>
        <c:axId val="0"/>
      </c:bar3DChart>
      <c:catAx>
        <c:axId val="206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2352"/>
        <c:crosses val="autoZero"/>
        <c:auto val="1"/>
        <c:lblAlgn val="ctr"/>
        <c:lblOffset val="100"/>
        <c:noMultiLvlLbl val="0"/>
      </c:catAx>
      <c:valAx>
        <c:axId val="206692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1943661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2391419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3230156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82816"/>
        <c:axId val="206492800"/>
        <c:axId val="0"/>
      </c:bar3DChart>
      <c:catAx>
        <c:axId val="206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92800"/>
        <c:crosses val="autoZero"/>
        <c:auto val="1"/>
        <c:lblAlgn val="ctr"/>
        <c:lblOffset val="100"/>
        <c:noMultiLvlLbl val="0"/>
      </c:catAx>
      <c:valAx>
        <c:axId val="206492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929896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259649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342344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594816"/>
        <c:axId val="206596352"/>
        <c:axId val="0"/>
      </c:bar3DChart>
      <c:catAx>
        <c:axId val="206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96352"/>
        <c:crosses val="autoZero"/>
        <c:auto val="1"/>
        <c:lblAlgn val="ctr"/>
        <c:lblOffset val="100"/>
        <c:noMultiLvlLbl val="0"/>
      </c:catAx>
      <c:valAx>
        <c:axId val="206596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4.459308807134886E-2"/>
                  <c:y val="-0.119195521077425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123108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1753050379258811E-17"/>
                  <c:y val="-9.242144177449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158603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041472"/>
        <c:axId val="208043008"/>
        <c:axId val="0"/>
      </c:bar3DChart>
      <c:catAx>
        <c:axId val="208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43008"/>
        <c:crosses val="autoZero"/>
        <c:auto val="1"/>
        <c:lblAlgn val="ctr"/>
        <c:lblOffset val="100"/>
        <c:noMultiLvlLbl val="0"/>
      </c:catAx>
      <c:valAx>
        <c:axId val="20804300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0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869990626779826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125130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59308807134894E-3"/>
                  <c:y val="-9.730781706130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144473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780480"/>
        <c:axId val="207790464"/>
        <c:axId val="0"/>
      </c:bar3DChart>
      <c:catAx>
        <c:axId val="207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0464"/>
        <c:crosses val="autoZero"/>
        <c:auto val="1"/>
        <c:lblAlgn val="ctr"/>
        <c:lblOffset val="100"/>
        <c:noMultiLvlLbl val="0"/>
      </c:catAx>
      <c:valAx>
        <c:axId val="2077904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9364272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12642026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8.0267558528428096E-2"/>
                  <c:y val="-0.171122994652406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12217871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931995540691194"/>
                  <c:y val="-7.8431372549019635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17537133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231616"/>
        <c:axId val="205233152"/>
        <c:axId val="0"/>
      </c:bar3DChart>
      <c:catAx>
        <c:axId val="2052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33152"/>
        <c:crosses val="autoZero"/>
        <c:auto val="1"/>
        <c:lblAlgn val="ctr"/>
        <c:lblOffset val="100"/>
        <c:noMultiLvlLbl val="0"/>
      </c:catAx>
      <c:valAx>
        <c:axId val="205233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2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444082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438781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053511705685619"/>
                  <c:y val="-0.10369858278603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591973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892480"/>
        <c:axId val="207894016"/>
        <c:axId val="0"/>
      </c:bar3DChart>
      <c:catAx>
        <c:axId val="207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94016"/>
        <c:crosses val="autoZero"/>
        <c:auto val="1"/>
        <c:lblAlgn val="ctr"/>
        <c:lblOffset val="100"/>
        <c:noMultiLvlLbl val="0"/>
      </c:catAx>
      <c:valAx>
        <c:axId val="207894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8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F8A-4EC5-A32D-1A635F429B74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F8A-4EC5-A32D-1A635F429B74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F8A-4EC5-A32D-1A635F429B74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F8A-4EC5-A32D-1A635F429B74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F8A-4EC5-A32D-1A635F429B74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F8A-4EC5-A32D-1A635F429B74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2F8A-4EC5-A32D-1A635F429B74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2F8A-4EC5-A32D-1A635F429B74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2F8A-4EC5-A32D-1A635F429B74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2F8A-4EC5-A32D-1A635F429B74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2F8A-4EC5-A32D-1A635F429B74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8A-4EC5-A32D-1A635F429B74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F8A-4EC5-A32D-1A635F429B74}"/>
                </c:ext>
              </c:extLst>
            </c:dLbl>
            <c:dLbl>
              <c:idx val="2"/>
              <c:layout>
                <c:manualLayout>
                  <c:x val="-6.9087415474934785E-2"/>
                  <c:y val="-0.11081808045762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30352163921"/>
                      <c:h val="0.14642095859389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F8A-4EC5-A32D-1A635F429B74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F8A-4EC5-A32D-1A635F429B74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8A-4EC5-A32D-1A635F429B74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F8A-4EC5-A32D-1A635F429B74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2F8A-4EC5-A32D-1A635F429B74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8A-4EC5-A32D-1A635F429B74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F8A-4EC5-A32D-1A635F429B74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F8A-4EC5-A32D-1A635F429B74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F8A-4EC5-A32D-1A635F429B7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</c:v>
                </c:pt>
                <c:pt idx="1">
                  <c:v>Надання дошкільної освіти; </c:v>
                </c:pt>
                <c:pt idx="2">
                  <c:v>Надання загальної середньої освіти, забезп.діяльності центру; </c:v>
                </c:pt>
                <c:pt idx="3">
                  <c:v>Охорона здоров"я; </c:v>
                </c:pt>
                <c:pt idx="4">
                  <c:v>Соціальний захист та соціальне забезпечення; </c:v>
                </c:pt>
                <c:pt idx="5">
                  <c:v>Культура і мистецтво;</c:v>
                </c:pt>
                <c:pt idx="6">
                  <c:v>Фізична культура і спорт; </c:v>
                </c:pt>
                <c:pt idx="7">
                  <c:v>Житлово-комунальне господарство; </c:v>
                </c:pt>
                <c:pt idx="8">
                  <c:v>Забезпечення діяльності місцевої пожежної команди;</c:v>
                </c:pt>
                <c:pt idx="9">
                  <c:v>Міжбюджетні трансферти;</c:v>
                </c:pt>
                <c:pt idx="10">
                  <c:v>Інші галузі; 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0.15</c:v>
                </c:pt>
                <c:pt idx="1">
                  <c:v>0.14000000000000001</c:v>
                </c:pt>
                <c:pt idx="2" formatCode="0%">
                  <c:v>0.5</c:v>
                </c:pt>
                <c:pt idx="3" formatCode="0%">
                  <c:v>0.01</c:v>
                </c:pt>
                <c:pt idx="4" formatCode="0%">
                  <c:v>2.5000000000000001E-2</c:v>
                </c:pt>
                <c:pt idx="5" formatCode="0%">
                  <c:v>0.04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0.03</c:v>
                </c:pt>
                <c:pt idx="10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F8A-4EC5-A32D-1A635F429B7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28993797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F-490E-B72A-3C2083E178B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1731718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BF-490E-B72A-3C2083E178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8420864"/>
        <c:axId val="208422400"/>
      </c:barChart>
      <c:catAx>
        <c:axId val="20842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2400"/>
        <c:crosses val="autoZero"/>
        <c:auto val="1"/>
        <c:lblAlgn val="ctr"/>
        <c:lblOffset val="100"/>
        <c:noMultiLvlLbl val="0"/>
      </c:catAx>
      <c:valAx>
        <c:axId val="208422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38"/>
          <c:y val="1.1774838824758556E-2"/>
          <c:w val="0.89005741469816324"/>
          <c:h val="0.7039841500394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 - червень 2020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36E-3"/>
                  <c:y val="-6.796116504854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E9-4E99-B304-DB287B0CBC31}"/>
                </c:ext>
              </c:extLst>
            </c:dLbl>
            <c:dLbl>
              <c:idx val="1"/>
              <c:layout>
                <c:manualLayout>
                  <c:x val="0"/>
                  <c:y val="-2.912621359223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E9-4E99-B304-DB287B0CBC31}"/>
                </c:ext>
              </c:extLst>
            </c:dLbl>
            <c:dLbl>
              <c:idx val="2"/>
              <c:layout>
                <c:manualLayout>
                  <c:x val="-2.27531285551763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E9-4E99-B304-DB287B0CBC3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E9-4E99-B304-DB287B0CBC31}"/>
                </c:ext>
              </c:extLst>
            </c:dLbl>
            <c:dLbl>
              <c:idx val="4"/>
              <c:layout>
                <c:manualLayout>
                  <c:x val="-8.342717427781019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E9-4E99-B304-DB287B0CBC31}"/>
                </c:ext>
              </c:extLst>
            </c:dLbl>
            <c:dLbl>
              <c:idx val="6"/>
              <c:layout>
                <c:manualLayout>
                  <c:x val="-6.8259385665529011E-3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E9-4E99-B304-DB287B0CBC3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E9-4E99-B304-DB287B0CB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3740.3789999999999</c:v>
                </c:pt>
                <c:pt idx="1">
                  <c:v>2749.1889999999999</c:v>
                </c:pt>
                <c:pt idx="2">
                  <c:v>8498.4619999999995</c:v>
                </c:pt>
                <c:pt idx="3">
                  <c:v>169.411</c:v>
                </c:pt>
                <c:pt idx="4">
                  <c:v>624.399</c:v>
                </c:pt>
                <c:pt idx="5">
                  <c:v>0</c:v>
                </c:pt>
                <c:pt idx="6">
                  <c:v>555.36500000000001</c:v>
                </c:pt>
                <c:pt idx="7">
                  <c:v>0</c:v>
                </c:pt>
                <c:pt idx="8">
                  <c:v>900.93899999999996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E9-4E99-B304-DB287B0CBC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Січень-червень 2021 року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342E-3"/>
                  <c:y val="-3.883495145631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E9-4E99-B304-DB287B0CBC31}"/>
                </c:ext>
              </c:extLst>
            </c:dLbl>
            <c:dLbl>
              <c:idx val="1"/>
              <c:layout>
                <c:manualLayout>
                  <c:x val="-4.1713587138905095E-17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E9-4E99-B304-DB287B0CBC31}"/>
                </c:ext>
              </c:extLst>
            </c:dLbl>
            <c:dLbl>
              <c:idx val="2"/>
              <c:layout>
                <c:manualLayout>
                  <c:x val="3.6405005688282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E9-4E99-B304-DB287B0CBC3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E9-4E99-B304-DB287B0CBC3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E9-4E99-B304-DB287B0CBC3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E9-4E99-B304-DB287B0CBC31}"/>
                </c:ext>
              </c:extLst>
            </c:dLbl>
            <c:dLbl>
              <c:idx val="6"/>
              <c:layout>
                <c:manualLayout>
                  <c:x val="-8.342717427781019E-17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E9-4E99-B304-DB287B0CBC31}"/>
                </c:ext>
              </c:extLst>
            </c:dLbl>
            <c:dLbl>
              <c:idx val="7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E9-4E99-B304-DB287B0CBC3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2E9-4E99-B304-DB287B0CB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4811.8620000000001</c:v>
                </c:pt>
                <c:pt idx="1">
                  <c:v>4058.65</c:v>
                </c:pt>
                <c:pt idx="2">
                  <c:v>14511.034</c:v>
                </c:pt>
                <c:pt idx="3">
                  <c:v>267.18</c:v>
                </c:pt>
                <c:pt idx="4">
                  <c:v>896.39200000000005</c:v>
                </c:pt>
                <c:pt idx="5">
                  <c:v>23.74</c:v>
                </c:pt>
                <c:pt idx="6">
                  <c:v>743.82600000000002</c:v>
                </c:pt>
                <c:pt idx="7">
                  <c:v>304.995</c:v>
                </c:pt>
                <c:pt idx="8">
                  <c:v>878.55799999999999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2E9-4E99-B304-DB287B0CB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08476416"/>
        <c:axId val="208515072"/>
        <c:axId val="0"/>
      </c:bar3DChart>
      <c:catAx>
        <c:axId val="20847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15072"/>
        <c:crosses val="autoZero"/>
        <c:auto val="1"/>
        <c:lblAlgn val="ctr"/>
        <c:lblOffset val="100"/>
        <c:noMultiLvlLbl val="0"/>
      </c:catAx>
      <c:valAx>
        <c:axId val="208515072"/>
        <c:scaling>
          <c:orientation val="minMax"/>
          <c:max val="14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476416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3035"/>
          <c:y val="3.114848508014165E-2"/>
          <c:w val="0.27097059113344618"/>
          <c:h val="0.1092240654384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Січень-червень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0D77-480D-AFB5-A2BD3A6A10D6}"/>
              </c:ext>
            </c:extLst>
          </c:dPt>
          <c:dLbls>
            <c:dLbl>
              <c:idx val="0"/>
              <c:layout>
                <c:manualLayout>
                  <c:x val="0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77-480D-AFB5-A2BD3A6A1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731323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D77-480D-AFB5-A2BD3A6A10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Січень-червень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D77-480D-AFB5-A2BD3A6A10D6}"/>
              </c:ext>
            </c:extLst>
          </c:dPt>
          <c:dLbls>
            <c:dLbl>
              <c:idx val="0"/>
              <c:layout>
                <c:manualLayout>
                  <c:x val="0.11560044893378219"/>
                  <c:y val="-6.349201530531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77-480D-AFB5-A2BD3A6A1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1370808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D77-480D-AFB5-A2BD3A6A10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209053568"/>
        <c:axId val="209055104"/>
        <c:axId val="0"/>
      </c:bar3DChart>
      <c:catAx>
        <c:axId val="2090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55104"/>
        <c:crosses val="autoZero"/>
        <c:auto val="1"/>
        <c:lblAlgn val="ctr"/>
        <c:lblOffset val="100"/>
        <c:noMultiLvlLbl val="0"/>
      </c:catAx>
      <c:valAx>
        <c:axId val="209055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53568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10456813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11209910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6889632107023325E-2"/>
                  <c:y val="-0.128342245989304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10882489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9.3645484949832852E-2"/>
                  <c:y val="-0.128342245989304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11945014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000064"/>
        <c:axId val="205001856"/>
        <c:axId val="0"/>
      </c:bar3DChart>
      <c:catAx>
        <c:axId val="2050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01856"/>
        <c:crosses val="autoZero"/>
        <c:auto val="1"/>
        <c:lblAlgn val="ctr"/>
        <c:lblOffset val="100"/>
        <c:noMultiLvlLbl val="0"/>
      </c:catAx>
      <c:valAx>
        <c:axId val="20500185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00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F0-4F4E-8201-B01402D9CDF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0-4F4E-8201-B01402D9CDF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4918866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1F0-4F4E-8201-B01402D9C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F0-4F4E-8201-B01402D9CDFF}"/>
              </c:ext>
            </c:extLst>
          </c:dPt>
          <c:dLbls>
            <c:dLbl>
              <c:idx val="0"/>
              <c:layout>
                <c:manualLayout>
                  <c:x val="-4.9200492004920051E-3"/>
                  <c:y val="-9.0474863718958201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0-4F4E-8201-B01402D9CDF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7460246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F0-4F4E-8201-B01402D9C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68406117132036E-2"/>
                  <c:y val="-8.5561477892186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1F0-4F4E-8201-B01402D9CDF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7621257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1F0-4F4E-8201-B01402D9C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>
                  <a:alpha val="88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1F0-4F4E-8201-B01402D9CDFF}"/>
              </c:ext>
            </c:extLst>
          </c:dPt>
          <c:dLbls>
            <c:dLbl>
              <c:idx val="0"/>
              <c:layout>
                <c:manualLayout>
                  <c:x val="0.16482164821648215"/>
                  <c:y val="-7.948717948717951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52890528905292"/>
                      <c:h val="8.1897435897435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11F0-4F4E-8201-B01402D9CDF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10406311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1F0-4F4E-8201-B01402D9C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128448"/>
        <c:axId val="205129984"/>
        <c:axId val="0"/>
      </c:bar3DChart>
      <c:catAx>
        <c:axId val="2051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129984"/>
        <c:crosses val="autoZero"/>
        <c:auto val="1"/>
        <c:lblAlgn val="ctr"/>
        <c:lblOffset val="100"/>
        <c:noMultiLvlLbl val="0"/>
      </c:catAx>
      <c:valAx>
        <c:axId val="20512998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1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6-45CC-B86D-36F3F80A07A1}"/>
              </c:ext>
            </c:extLst>
          </c:dPt>
          <c:dLbls>
            <c:dLbl>
              <c:idx val="0"/>
              <c:layout>
                <c:manualLayout>
                  <c:x val="4.4594425696787678E-3"/>
                  <c:y val="-0.144866465151571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6-45CC-B86D-36F3F80A07A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1651496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16-45CC-B86D-36F3F80A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16-45CC-B86D-36F3F80A07A1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6-45CC-B86D-36F3F80A07A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2126822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16-45CC-B86D-36F3F80A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7101708440291118E-3"/>
                  <c:y val="-9.42851811769974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16-45CC-B86D-36F3F80A07A1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1885698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16-45CC-B86D-36F3F80A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698630136986301E-2"/>
                  <c:y val="-9.7560975609756129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F6-46D1-AF6D-4133A4593EA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3305091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BF6-46D1-AF6D-4133A4593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411456"/>
        <c:axId val="205412992"/>
        <c:axId val="0"/>
      </c:bar3DChart>
      <c:catAx>
        <c:axId val="2054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412992"/>
        <c:crosses val="autoZero"/>
        <c:auto val="1"/>
        <c:lblAlgn val="ctr"/>
        <c:lblOffset val="100"/>
        <c:noMultiLvlLbl val="0"/>
      </c:catAx>
      <c:valAx>
        <c:axId val="20541299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4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565554305711785E-2"/>
          <c:y val="3.7914691943127965E-2"/>
          <c:w val="0.48912808975801103"/>
          <c:h val="0.2190573571668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52287947992267"/>
          <c:y val="6.504881134462509E-2"/>
          <c:w val="0.89947731241765982"/>
          <c:h val="0.78198192967814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F3-45A3-BBB9-049ACE707CE0}"/>
              </c:ext>
            </c:extLst>
          </c:dPt>
          <c:dLbls>
            <c:dLbl>
              <c:idx val="0"/>
              <c:layout>
                <c:manualLayout>
                  <c:x val="-1.4495870942961397E-2"/>
                  <c:y val="-0.10590674038085666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5A3-BBB9-049ACE707C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1545842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5F3-45A3-BBB9-049ACE70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F3-45A3-BBB9-049ACE707CE0}"/>
              </c:ext>
            </c:extLst>
          </c:dPt>
          <c:dLbls>
            <c:dLbl>
              <c:idx val="0"/>
              <c:layout>
                <c:manualLayout>
                  <c:x val="-2.173959962321783E-2"/>
                  <c:y val="-0.113826771653543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F3-45A3-BBB9-049ACE707C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1807232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5F3-45A3-BBB9-049ACE70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183571565749317E-2"/>
                  <c:y val="-0.114698386105992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5F3-45A3-BBB9-049ACE707CE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1594612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5F3-45A3-BBB9-049ACE70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9914529914529916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A67-86D9-30B177DA41F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1989468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1-4A67-86D9-30B177DA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764096"/>
        <c:axId val="205765632"/>
        <c:axId val="0"/>
      </c:bar3DChart>
      <c:catAx>
        <c:axId val="2057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765632"/>
        <c:crosses val="autoZero"/>
        <c:auto val="1"/>
        <c:lblAlgn val="ctr"/>
        <c:lblOffset val="100"/>
        <c:noMultiLvlLbl val="0"/>
      </c:catAx>
      <c:valAx>
        <c:axId val="2057656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76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4769289335016331E-2"/>
          <c:y val="0.87299983246775015"/>
          <c:w val="0.94969858305078414"/>
          <c:h val="0.1270001675322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59,33%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5,8%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1,4%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18,85%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0,7%.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11,35%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0,87%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7758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19E-2"/>
                  <c:y val="-8.643305747495848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18797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64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99420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636352"/>
        <c:axId val="205637888"/>
        <c:axId val="0"/>
      </c:bar3DChart>
      <c:catAx>
        <c:axId val="2056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37888"/>
        <c:crosses val="autoZero"/>
        <c:auto val="1"/>
        <c:lblAlgn val="ctr"/>
        <c:lblOffset val="100"/>
        <c:noMultiLvlLbl val="0"/>
      </c:catAx>
      <c:valAx>
        <c:axId val="2056378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63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19E-2"/>
          <c:y val="4.2517006802721087E-2"/>
          <c:w val="0.32474898831625981"/>
          <c:h val="0.3928484385880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91081382385730214"/>
          <c:h val="0.78239653033061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6E-2"/>
                  <c:y val="-8.8928369390719381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80F-4458-9867-C815CA1FE8D4}"/>
              </c:ext>
            </c:extLst>
          </c:dPt>
          <c:dLbls>
            <c:dLbl>
              <c:idx val="0"/>
              <c:layout>
                <c:manualLayout>
                  <c:x val="2.8985331683037907E-2"/>
                  <c:y val="-7.0899166730372332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57636566332214"/>
                      <c:h val="0.109065667762403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10262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1215161649944177E-2"/>
                  <c:y val="-9.33286445990367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0.1013839920495374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086912"/>
        <c:axId val="206088448"/>
        <c:axId val="0"/>
      </c:bar3DChart>
      <c:catAx>
        <c:axId val="20608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88448"/>
        <c:crosses val="autoZero"/>
        <c:auto val="1"/>
        <c:lblAlgn val="ctr"/>
        <c:lblOffset val="100"/>
        <c:noMultiLvlLbl val="0"/>
      </c:catAx>
      <c:valAx>
        <c:axId val="2060884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08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622240363767248"/>
          <c:y val="0"/>
          <c:w val="0.33366760593052958"/>
          <c:h val="0.4045274826083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0.22173</cdr:x>
      <cdr:y>0</cdr:y>
    </cdr:from>
    <cdr:to>
      <cdr:x>0.45745</cdr:x>
      <cdr:y>0.09806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52486" y="-723900"/>
          <a:ext cx="1012600" cy="275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+639485 грн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D912-65AA-4359-B70D-DD95F88D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9037</Words>
  <Characters>51513</Characters>
  <Application>Microsoft Office Word</Application>
  <DocSecurity>8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</cp:revision>
  <cp:lastPrinted>2021-07-20T06:55:00Z</cp:lastPrinted>
  <dcterms:created xsi:type="dcterms:W3CDTF">2021-07-21T02:48:00Z</dcterms:created>
  <dcterms:modified xsi:type="dcterms:W3CDTF">2021-07-21T02:49:00Z</dcterms:modified>
</cp:coreProperties>
</file>