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сільської </w:t>
      </w:r>
    </w:p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 </w:t>
      </w:r>
      <w:r w:rsidR="00580444">
        <w:rPr>
          <w:rFonts w:ascii="Times New Roman" w:hAnsi="Times New Roman"/>
          <w:sz w:val="28"/>
          <w:szCs w:val="28"/>
        </w:rPr>
        <w:t xml:space="preserve">від </w:t>
      </w:r>
      <w:r w:rsidR="002C186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.04.2021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09-</w:t>
      </w:r>
      <w:r w:rsidR="009979C8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>І квартал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Згідно аналізу виконання плану по доходах бюджету Степанківської сільської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>
        <w:rPr>
          <w:rFonts w:ascii="Times New Roman" w:hAnsi="Times New Roman"/>
          <w:sz w:val="28"/>
          <w:szCs w:val="28"/>
        </w:rPr>
        <w:t>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776658" w:rsidRPr="00776658">
        <w:rPr>
          <w:rFonts w:ascii="Times New Roman" w:hAnsi="Times New Roman"/>
          <w:sz w:val="28"/>
          <w:szCs w:val="28"/>
        </w:rPr>
        <w:t xml:space="preserve">14699775,00 </w:t>
      </w:r>
      <w:r w:rsidRPr="00776658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>, в тому числі по заг</w:t>
      </w:r>
      <w:r w:rsidR="00776658">
        <w:rPr>
          <w:rFonts w:ascii="Times New Roman" w:hAnsi="Times New Roman"/>
          <w:sz w:val="28"/>
          <w:szCs w:val="28"/>
        </w:rPr>
        <w:t>альному фонду – 13159432,00 грн</w:t>
      </w:r>
      <w:r w:rsidRPr="002F4DBF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776658">
        <w:rPr>
          <w:rFonts w:ascii="Times New Roman" w:hAnsi="Times New Roman"/>
          <w:sz w:val="28"/>
          <w:szCs w:val="28"/>
        </w:rPr>
        <w:t>1540343,00</w:t>
      </w:r>
      <w:r w:rsidRPr="002F4DBF">
        <w:rPr>
          <w:rFonts w:ascii="Times New Roman" w:hAnsi="Times New Roman"/>
          <w:sz w:val="28"/>
          <w:szCs w:val="28"/>
        </w:rPr>
        <w:t xml:space="preserve"> грн. Фактично надійшло доходів за І квартал 202</w:t>
      </w:r>
      <w:r w:rsidR="00776658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</w:t>
      </w:r>
      <w:r w:rsidR="00776658">
        <w:rPr>
          <w:rFonts w:ascii="Times New Roman" w:hAnsi="Times New Roman"/>
          <w:sz w:val="28"/>
          <w:szCs w:val="28"/>
        </w:rPr>
        <w:t>у всього в сумі 12832616,65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загальному фонду – </w:t>
      </w:r>
      <w:r w:rsidR="00776658">
        <w:rPr>
          <w:rFonts w:ascii="Times New Roman" w:hAnsi="Times New Roman"/>
          <w:sz w:val="28"/>
          <w:szCs w:val="28"/>
        </w:rPr>
        <w:t>12611310,82 грн, що становить 95,83</w:t>
      </w:r>
      <w:r w:rsidRPr="002F4DBF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776658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776658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 % до уточненого плану.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8CD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</w:t>
      </w:r>
      <w:r w:rsidR="007378CD">
        <w:rPr>
          <w:rFonts w:ascii="Times New Roman" w:hAnsi="Times New Roman"/>
          <w:sz w:val="28"/>
          <w:szCs w:val="28"/>
        </w:rPr>
        <w:t>оку разом склали 8491372,65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7378CD">
        <w:rPr>
          <w:rFonts w:ascii="Times New Roman" w:hAnsi="Times New Roman"/>
          <w:sz w:val="28"/>
          <w:szCs w:val="28"/>
        </w:rPr>
        <w:t>83,07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7378CD">
        <w:rPr>
          <w:rFonts w:ascii="Times New Roman" w:hAnsi="Times New Roman"/>
          <w:sz w:val="28"/>
          <w:szCs w:val="28"/>
        </w:rPr>
        <w:t>10222113,00 грн</w:t>
      </w:r>
      <w:r w:rsidRPr="002F4DBF">
        <w:rPr>
          <w:rFonts w:ascii="Times New Roman" w:hAnsi="Times New Roman"/>
          <w:sz w:val="28"/>
          <w:szCs w:val="28"/>
        </w:rPr>
        <w:t>). Питома вага фактичних власних надходжень у бюджеті по обох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році склала </w:t>
      </w:r>
      <w:r w:rsidR="007378CD">
        <w:rPr>
          <w:rFonts w:ascii="Times New Roman" w:hAnsi="Times New Roman"/>
          <w:sz w:val="28"/>
          <w:szCs w:val="28"/>
        </w:rPr>
        <w:t>66,17</w:t>
      </w:r>
      <w:r w:rsidRPr="002F4DBF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7378CD">
        <w:rPr>
          <w:rFonts w:ascii="Times New Roman" w:hAnsi="Times New Roman"/>
          <w:sz w:val="28"/>
          <w:szCs w:val="28"/>
        </w:rPr>
        <w:t>4341244</w:t>
      </w:r>
      <w:r w:rsidRPr="002F4DBF">
        <w:rPr>
          <w:rFonts w:ascii="Times New Roman" w:hAnsi="Times New Roman"/>
          <w:sz w:val="28"/>
          <w:szCs w:val="28"/>
        </w:rPr>
        <w:t>,00 грн., виконання по міжбюджетних трансфертах по фондах в цілому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7378CD">
        <w:rPr>
          <w:rFonts w:ascii="Times New Roman" w:hAnsi="Times New Roman"/>
          <w:sz w:val="28"/>
          <w:szCs w:val="28"/>
        </w:rPr>
        <w:t>4477662,00 грн</w:t>
      </w:r>
      <w:r w:rsidRPr="002F4DBF">
        <w:rPr>
          <w:rFonts w:ascii="Times New Roman" w:hAnsi="Times New Roman"/>
          <w:sz w:val="28"/>
          <w:szCs w:val="28"/>
        </w:rPr>
        <w:t xml:space="preserve">) становить </w:t>
      </w:r>
      <w:r w:rsidR="007378CD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7378CD">
        <w:rPr>
          <w:rFonts w:ascii="Times New Roman" w:hAnsi="Times New Roman"/>
          <w:sz w:val="28"/>
          <w:szCs w:val="28"/>
        </w:rPr>
        <w:t>33,83</w:t>
      </w:r>
      <w:r w:rsidRPr="002F4DBF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>ЗА І КВАРТАЛ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2F4DBF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І квартал 2021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6F0A44">
        <w:rPr>
          <w:rFonts w:ascii="Times New Roman" w:hAnsi="Times New Roman"/>
          <w:sz w:val="28"/>
          <w:szCs w:val="28"/>
        </w:rPr>
        <w:t>12611310,82грн</w:t>
      </w:r>
      <w:r w:rsidR="002F4DBF" w:rsidRPr="002F4DBF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6F0A44">
        <w:rPr>
          <w:rFonts w:ascii="Times New Roman" w:hAnsi="Times New Roman"/>
          <w:sz w:val="28"/>
          <w:szCs w:val="28"/>
        </w:rPr>
        <w:t>8270066,82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F0A44">
        <w:rPr>
          <w:rFonts w:ascii="Times New Roman" w:hAnsi="Times New Roman"/>
          <w:sz w:val="28"/>
          <w:szCs w:val="28"/>
        </w:rPr>
        <w:t>95,26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6F0A44">
        <w:rPr>
          <w:rFonts w:ascii="Times New Roman" w:hAnsi="Times New Roman"/>
          <w:sz w:val="28"/>
          <w:szCs w:val="28"/>
        </w:rPr>
        <w:t>8681770,00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6F0A44">
        <w:rPr>
          <w:rFonts w:ascii="Times New Roman" w:hAnsi="Times New Roman"/>
          <w:sz w:val="28"/>
          <w:szCs w:val="28"/>
        </w:rPr>
        <w:t>недови</w:t>
      </w:r>
      <w:r w:rsidRPr="002F4DBF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6F0A44">
        <w:rPr>
          <w:rFonts w:ascii="Times New Roman" w:hAnsi="Times New Roman"/>
          <w:sz w:val="28"/>
          <w:szCs w:val="28"/>
        </w:rPr>
        <w:t>411703,18 грн</w:t>
      </w:r>
      <w:r w:rsidRPr="002F4DBF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6F0A44">
        <w:rPr>
          <w:rFonts w:ascii="Times New Roman" w:hAnsi="Times New Roman"/>
          <w:sz w:val="28"/>
          <w:szCs w:val="28"/>
        </w:rPr>
        <w:t>65,58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6F0A44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A52861">
        <w:rPr>
          <w:rFonts w:ascii="Times New Roman" w:hAnsi="Times New Roman"/>
          <w:sz w:val="28"/>
          <w:szCs w:val="28"/>
        </w:rPr>
        <w:t>1688581,00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A52861">
        <w:rPr>
          <w:rFonts w:ascii="Times New Roman" w:hAnsi="Times New Roman"/>
          <w:sz w:val="28"/>
          <w:szCs w:val="28"/>
        </w:rPr>
        <w:t>25,7%</w:t>
      </w:r>
      <w:r w:rsidRPr="002F4DBF">
        <w:rPr>
          <w:rFonts w:ascii="Times New Roman" w:hAnsi="Times New Roman"/>
          <w:sz w:val="28"/>
          <w:szCs w:val="28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</w:t>
      </w:r>
      <w:r w:rsidR="00A52861">
        <w:rPr>
          <w:rFonts w:ascii="Times New Roman" w:hAnsi="Times New Roman"/>
          <w:sz w:val="28"/>
          <w:szCs w:val="28"/>
        </w:rPr>
        <w:t>тні трансферти в сумі 4341244,00</w:t>
      </w:r>
      <w:r w:rsidRPr="002F4DBF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F43583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F43583">
        <w:rPr>
          <w:rFonts w:ascii="Times New Roman" w:hAnsi="Times New Roman"/>
          <w:sz w:val="28"/>
          <w:szCs w:val="28"/>
        </w:rPr>
        <w:t>4477662 грн</w:t>
      </w:r>
      <w:r w:rsidRPr="002F4DBF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F43583">
        <w:rPr>
          <w:rFonts w:ascii="Times New Roman" w:hAnsi="Times New Roman"/>
          <w:sz w:val="28"/>
          <w:szCs w:val="28"/>
        </w:rPr>
        <w:t>136418,00 грн</w:t>
      </w:r>
      <w:r w:rsidRPr="002F4DBF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F43583">
        <w:rPr>
          <w:rFonts w:ascii="Times New Roman" w:hAnsi="Times New Roman"/>
          <w:sz w:val="28"/>
          <w:szCs w:val="28"/>
        </w:rPr>
        <w:t>34,42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F43583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C601A3">
        <w:rPr>
          <w:rFonts w:ascii="Times New Roman" w:hAnsi="Times New Roman"/>
          <w:sz w:val="28"/>
          <w:szCs w:val="28"/>
        </w:rPr>
        <w:t>змен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C601A3">
        <w:rPr>
          <w:rFonts w:ascii="Times New Roman" w:hAnsi="Times New Roman"/>
          <w:sz w:val="28"/>
          <w:szCs w:val="28"/>
        </w:rPr>
        <w:t>515268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C601A3">
        <w:rPr>
          <w:rFonts w:ascii="Times New Roman" w:hAnsi="Times New Roman"/>
          <w:sz w:val="28"/>
          <w:szCs w:val="28"/>
        </w:rPr>
        <w:t>10,61%</w:t>
      </w:r>
      <w:r w:rsidRPr="002F4DBF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>ЗА І КВАРТАЛ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8270066,82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95,26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%. Фактично отримані до бюджету власні та закріплені надходження 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та збору на доходи фізичних осіб за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 року склали 3986744,68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71,10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 (уточнений план на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5607600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1620855,32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48,2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051D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кварталом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меншились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84095,12 грн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2,07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використання інших природних ресурсів за І квартал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58261,13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143,64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40560,00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17701,13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0,71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 надходження  порівняно з І кварталом 20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55457,48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2078,05%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акцизного податку з вироблених в Україні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139861,20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року; надходження акцизного податку з ввезених на митну територію України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471213,76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а оскільки було прийнято Постанову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7704A" w:rsidRPr="002F4DBF" w:rsidRDefault="00D7704A" w:rsidP="00D770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надходження акцизного податку з реалізації суб’єктами господарювання роздрібної торгівлі підакцизних товарів за І квартал 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111349,00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12979грн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власних надходжень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1,35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збільшились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42276,45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61,2%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DD4121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на майно за І квартал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1601105,48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91,65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145854,52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19,36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503903,26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45,92%;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податку на майно за І квартал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843,90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630,00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133,95%;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484,90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заплановані з травня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итлової нерухомості відсутні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складає 3020,00 грн;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382190,22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430000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88,9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47809,78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39831,61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11,64%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196075,39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205650,00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в сумі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9574,61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26567,34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15,67%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992273,19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1072290,00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92,54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80016,81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423199 грн, або ж на 74,37%;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3202,05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4800,00 грн, виконання 66,71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4225,79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56,89%;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19785,83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30570,00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64,72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10784,17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13743,05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227,43%;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надходження транспортного податку з юридичних осіб 6250,00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7419F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єдиного податку за І квартал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1094476,94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104,81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1044210,00грн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50266,94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актичних власних надходжень 13,24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164586,07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17,7%.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>диного податку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9438,31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70090,00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13,47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60651,69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я в порівнянні з І кварталом 2020 року 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46870,51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83,24%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862883,18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652150,00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132,31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210733,18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269995,45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45,53%;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222155,45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321970,00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69,00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99814,55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58538,87 грн.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lastRenderedPageBreak/>
        <w:t>2.2. Міжбюджетні трансферти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За  І квартал 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4341244,00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уточненому плані на період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4477662,00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становить </w:t>
      </w:r>
      <w:r w:rsidR="008D5BB0">
        <w:rPr>
          <w:rFonts w:ascii="Times New Roman" w:eastAsia="Times New Roman" w:hAnsi="Times New Roman"/>
          <w:sz w:val="28"/>
          <w:szCs w:val="28"/>
          <w:lang w:eastAsia="ru-RU"/>
        </w:rPr>
        <w:t>96,95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базова дотація 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,00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освітня субвенція з державного бюджету місцевим бюджетам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авного бюджету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8F4A26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за І квартал 2021 року надійшла в сумі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грн, виконання при уточненому плані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99531,00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фактичних надходженнях міжбюджетних трансфертів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надійшли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355313,00грн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491731,00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72,26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у тому числі інші субвенції за І квартал 202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566EEF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66EEF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566EEF">
        <w:rPr>
          <w:sz w:val="28"/>
          <w:szCs w:val="28"/>
          <w:lang w:val="uk-UA"/>
        </w:rPr>
        <w:t>ської ради в сумі 200000,00 грн</w:t>
      </w:r>
      <w:r w:rsidRPr="00566EEF">
        <w:rPr>
          <w:sz w:val="28"/>
          <w:szCs w:val="28"/>
          <w:lang w:val="uk-UA"/>
        </w:rPr>
        <w:t>, пр</w:t>
      </w:r>
      <w:r w:rsidR="00314C95" w:rsidRPr="00566EEF">
        <w:rPr>
          <w:sz w:val="28"/>
          <w:szCs w:val="28"/>
          <w:lang w:val="uk-UA"/>
        </w:rPr>
        <w:t>и плані на період 200000,00 грн</w:t>
      </w:r>
      <w:r w:rsidRPr="00566EEF">
        <w:rPr>
          <w:sz w:val="28"/>
          <w:szCs w:val="28"/>
          <w:lang w:val="uk-UA"/>
        </w:rPr>
        <w:t xml:space="preserve"> виконання </w:t>
      </w:r>
      <w:r w:rsidR="00314C95" w:rsidRPr="00566EEF">
        <w:rPr>
          <w:sz w:val="28"/>
          <w:szCs w:val="28"/>
          <w:lang w:val="uk-UA"/>
        </w:rPr>
        <w:t>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6F3A9B">
        <w:rPr>
          <w:sz w:val="28"/>
          <w:szCs w:val="28"/>
        </w:rPr>
        <w:t>VII</w:t>
      </w:r>
      <w:r w:rsidRPr="006D5A1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12600</w:t>
      </w:r>
      <w:r w:rsidR="006F3A9B" w:rsidRPr="006D5A11">
        <w:rPr>
          <w:sz w:val="28"/>
          <w:szCs w:val="28"/>
          <w:lang w:val="uk-UA"/>
        </w:rPr>
        <w:t>,00 грн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12600,00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lastRenderedPageBreak/>
        <w:t>з бюджету Мошнівської сільської територіальної громади відповідно до рішення від 24.02.2021 №7-1/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26252,00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26252,00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Леськівської сільської територіальної громади відповідно до рішення від 04.03.2021 №5-63/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0,00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90</w:t>
      </w:r>
      <w:r w:rsidR="006F3A9B" w:rsidRPr="006D5A11">
        <w:rPr>
          <w:sz w:val="28"/>
          <w:szCs w:val="28"/>
          <w:lang w:val="uk-UA"/>
        </w:rPr>
        <w:t xml:space="preserve">000,00 грн </w:t>
      </w:r>
      <w:r w:rsidRPr="006D5A11">
        <w:rPr>
          <w:sz w:val="28"/>
          <w:szCs w:val="28"/>
          <w:lang w:val="uk-UA"/>
        </w:rPr>
        <w:t>виконання 0%, сума недоотриманої субвенції на період 90000,00 грн;</w:t>
      </w:r>
    </w:p>
    <w:p w:rsidR="008B3AC5" w:rsidRPr="006D5A1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 xml:space="preserve">з бюджету Руськополянської </w:t>
      </w:r>
      <w:r w:rsidR="008B3AC5" w:rsidRPr="006D5A11">
        <w:rPr>
          <w:sz w:val="28"/>
          <w:szCs w:val="28"/>
          <w:lang w:val="uk-UA"/>
        </w:rPr>
        <w:t>сільської територіальної громади на утримання КУ «Центр професійного розвитку педагогічних працівників» Степанківської сільської ради в сумі 23170,00 гр</w:t>
      </w:r>
      <w:r w:rsidRPr="006D5A11">
        <w:rPr>
          <w:sz w:val="28"/>
          <w:szCs w:val="28"/>
          <w:lang w:val="uk-UA"/>
        </w:rPr>
        <w:t>н</w:t>
      </w:r>
      <w:r w:rsidR="008B3AC5" w:rsidRPr="006D5A11">
        <w:rPr>
          <w:sz w:val="28"/>
          <w:szCs w:val="28"/>
          <w:lang w:val="uk-UA"/>
        </w:rPr>
        <w:t xml:space="preserve"> при плані на період 69588</w:t>
      </w:r>
      <w:r w:rsidRPr="006D5A11">
        <w:rPr>
          <w:sz w:val="28"/>
          <w:szCs w:val="28"/>
          <w:lang w:val="uk-UA"/>
        </w:rPr>
        <w:t>,00 грн</w:t>
      </w:r>
      <w:r w:rsidR="008B3AC5" w:rsidRPr="006D5A11">
        <w:rPr>
          <w:sz w:val="28"/>
          <w:szCs w:val="28"/>
          <w:lang w:val="uk-UA"/>
        </w:rPr>
        <w:t xml:space="preserve"> виконання 33%, сума недоотриманої субвенції на період 46418,00 грн;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79971,00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79971,00 грн</w:t>
      </w:r>
      <w:r w:rsidRPr="006D5A11">
        <w:rPr>
          <w:sz w:val="28"/>
          <w:szCs w:val="28"/>
          <w:lang w:val="uk-UA"/>
        </w:rPr>
        <w:t xml:space="preserve"> виконання 100%</w:t>
      </w:r>
      <w:r w:rsidR="006F3A9B" w:rsidRPr="006D5A1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2538DB">
        <w:rPr>
          <w:rFonts w:ascii="Times New Roman" w:hAnsi="Times New Roman"/>
          <w:sz w:val="28"/>
          <w:szCs w:val="28"/>
        </w:rPr>
        <w:t>1540343,00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%, питома вага у надходженнях спеціального фонду 100%, надходження порівняно з І кварталом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2538DB">
        <w:rPr>
          <w:rFonts w:ascii="Times New Roman" w:hAnsi="Times New Roman"/>
          <w:sz w:val="28"/>
          <w:szCs w:val="28"/>
        </w:rPr>
        <w:t>118155,02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2538DB">
        <w:rPr>
          <w:rFonts w:ascii="Times New Roman" w:hAnsi="Times New Roman"/>
          <w:sz w:val="28"/>
          <w:szCs w:val="28"/>
        </w:rPr>
        <w:t>114,55%.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 надходжень міжбюджетних трансфертів по спеціальному фонду 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Надходження спеціального фонду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D3796E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за І квартал 2020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податкові надходження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48628,85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D3796E">
        <w:rPr>
          <w:rFonts w:ascii="Times New Roman" w:hAnsi="Times New Roman"/>
          <w:sz w:val="28"/>
          <w:szCs w:val="28"/>
        </w:rPr>
        <w:t>139,54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D3796E">
        <w:rPr>
          <w:rFonts w:ascii="Times New Roman" w:hAnsi="Times New Roman"/>
          <w:sz w:val="28"/>
          <w:szCs w:val="28"/>
        </w:rPr>
        <w:t>34850,00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D3796E">
        <w:rPr>
          <w:rFonts w:ascii="Times New Roman" w:hAnsi="Times New Roman"/>
          <w:sz w:val="28"/>
          <w:szCs w:val="28"/>
        </w:rPr>
        <w:t>13778,85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</w:t>
      </w:r>
      <w:r w:rsidRPr="002F4DBF">
        <w:rPr>
          <w:rFonts w:ascii="Times New Roman" w:hAnsi="Times New Roman"/>
          <w:sz w:val="28"/>
          <w:szCs w:val="28"/>
        </w:rPr>
        <w:lastRenderedPageBreak/>
        <w:t xml:space="preserve">екологічного податку в сумі </w:t>
      </w:r>
      <w:r w:rsidR="00D3796E">
        <w:rPr>
          <w:rFonts w:ascii="Times New Roman" w:hAnsi="Times New Roman"/>
          <w:sz w:val="28"/>
          <w:szCs w:val="28"/>
        </w:rPr>
        <w:t>48</w:t>
      </w:r>
      <w:r w:rsidR="00313FAD">
        <w:rPr>
          <w:rFonts w:ascii="Times New Roman" w:hAnsi="Times New Roman"/>
          <w:sz w:val="28"/>
          <w:szCs w:val="28"/>
        </w:rPr>
        <w:t>628,85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313FAD">
        <w:rPr>
          <w:rFonts w:ascii="Times New Roman" w:hAnsi="Times New Roman"/>
          <w:sz w:val="28"/>
          <w:szCs w:val="28"/>
        </w:rPr>
        <w:t>21,97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Порівняно з І кварталом 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>
              <w:rPr>
                <w:rFonts w:ascii="Times New Roman" w:hAnsi="Times New Roman"/>
                <w:sz w:val="28"/>
                <w:szCs w:val="28"/>
              </w:rPr>
              <w:t>43443,07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>
              <w:rPr>
                <w:rFonts w:ascii="Times New Roman" w:hAnsi="Times New Roman"/>
                <w:sz w:val="28"/>
                <w:szCs w:val="28"/>
              </w:rPr>
              <w:t>937,74%.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неподаткові надходження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A33A4F">
        <w:rPr>
          <w:rFonts w:ascii="Times New Roman" w:hAnsi="Times New Roman"/>
          <w:sz w:val="28"/>
          <w:szCs w:val="28"/>
        </w:rPr>
        <w:t>172176,98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A33A4F">
        <w:rPr>
          <w:rFonts w:ascii="Times New Roman" w:hAnsi="Times New Roman"/>
          <w:sz w:val="28"/>
          <w:szCs w:val="28"/>
        </w:rPr>
        <w:t>11,48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надходження від плати за послуги, що надаються бюджетними установами згідно з їх основною діяльністю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A33A4F">
        <w:rPr>
          <w:rFonts w:ascii="Times New Roman" w:hAnsi="Times New Roman"/>
          <w:sz w:val="28"/>
          <w:szCs w:val="28"/>
        </w:rPr>
        <w:t>164823,03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A33A4F">
        <w:rPr>
          <w:rFonts w:ascii="Times New Roman" w:hAnsi="Times New Roman"/>
          <w:sz w:val="28"/>
          <w:szCs w:val="28"/>
        </w:rPr>
        <w:t>74,5</w:t>
      </w:r>
      <w:r w:rsidRPr="002F4DBF">
        <w:rPr>
          <w:rFonts w:ascii="Times New Roman" w:hAnsi="Times New Roman"/>
          <w:sz w:val="28"/>
          <w:szCs w:val="28"/>
        </w:rPr>
        <w:t>%, надходження порівняно з І кварталом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A33A4F">
        <w:rPr>
          <w:rFonts w:ascii="Times New Roman" w:hAnsi="Times New Roman"/>
          <w:sz w:val="28"/>
          <w:szCs w:val="28"/>
        </w:rPr>
        <w:t>83585,70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>адходження до цільових фондів за І квартал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>
        <w:rPr>
          <w:rFonts w:ascii="Times New Roman" w:hAnsi="Times New Roman"/>
          <w:sz w:val="28"/>
          <w:szCs w:val="28"/>
        </w:rPr>
        <w:t>500,00 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>
        <w:rPr>
          <w:rFonts w:ascii="Times New Roman" w:hAnsi="Times New Roman"/>
          <w:sz w:val="28"/>
          <w:szCs w:val="28"/>
        </w:rPr>
        <w:t>9,8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326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Фактичні надходження цільових фондів порівняно з І кварталом 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49,60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9,02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кварталом 2019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760,00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60,3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ЗА І КВАРТАЛ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4. Надходження до бюджету Степанківської сільської територіальної громади за І квартал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аграрного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410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393702,60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244026,80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23000,00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637729,40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393702,60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21600,00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9600,00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532004,40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366105,60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25000,00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18000,00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50000,00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125,00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132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за І квартал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564094,89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184791,26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234197,32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10B6E" w:rsidRPr="002F4DBF" w:rsidTr="00620EC8">
        <w:tc>
          <w:tcPr>
            <w:tcW w:w="396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329897,57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379303,63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564094,89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112011,73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116319,71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104569,62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15310,84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772,20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239466,80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7000,00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559,33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31340,28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73787,04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195575,00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230694,32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141092,10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177,12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13299B" w:rsidRPr="002F4DBF" w:rsidTr="00620EC8">
        <w:tc>
          <w:tcPr>
            <w:tcW w:w="3964" w:type="dxa"/>
          </w:tcPr>
          <w:p w:rsidR="0013299B" w:rsidRPr="0013299B" w:rsidRDefault="0013299B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94" w:type="dxa"/>
          </w:tcPr>
          <w:p w:rsidR="0013299B" w:rsidRPr="0013299B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4620,00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37691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альної громади за І квартал 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208176,83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 року менше на 227467,31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менше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139433,46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347610,29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435644,14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208176,83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346549,92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434640,91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206197,25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114,04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1060,37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987,63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697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243873,34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87525,85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60804,30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2019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2020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 квартал 2021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183069,04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331399,19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243873,34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21647,23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169977,38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82451,53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181421,81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382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176823,54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5213,16грн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21480,32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155343,22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171610,38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176823,54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154012,15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170598,92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176752,54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4,52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4,05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4,7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1326,55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1007,41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66,30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аграрного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74440,37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74440,37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34464,00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738,00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420,11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1028,00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37741,93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48,33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34489,58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34489,58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8300,29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5808,31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20223,06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157,92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348788,67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348788,67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47758,62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2922,71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278127,03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19964,06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16,25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9263,22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9263,22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9263,22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4097,89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4097,89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4097,89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62556,23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62556,23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1222,58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61333,65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27224,29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27224,29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27224,29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Надходження до бюджету Степанківської сільської територіальної громади за І квартал 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промислового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EE42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1293256,14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ми від платника за І квартал 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78071,56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414298,57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878957,57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1215184,58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1293256,14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855653,91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1160747,69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1233436,21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176,44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404,22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20065,05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22709,60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земельний податок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5047,52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7570,89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10094,33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17622,00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634,14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191,51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178,78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860A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169776,20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31342,95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238151,41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407927,61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138433,25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169776,20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348177,61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88009,64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107791,15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44,44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31,05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21460,00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23395,02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26500,00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37440,00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26182,00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34904,00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802,15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550,00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4521A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71246,60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11798,13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менше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203192,37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71246,60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71246,60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DD351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72017,83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5090,14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19519,53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91537,36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66927,69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72017,83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86722,36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62842,69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68670,83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4815,00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4085,00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3347,00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0A2A9A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262369,32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що порівняно з надходженнями зарахованими від платника за І квартал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27086,16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47443,14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214926,18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235283,16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262369,32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144102,40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159127,12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179560,38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44831,01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50251,69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56871,72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311,56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223,14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256,01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промислового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427801,07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427801,07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300782,79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39765,72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86389,88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862,68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12299,09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12299,09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11092,19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квартал 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забезпечили надходжен</w:t>
      </w:r>
      <w:r w:rsidR="005907ED">
        <w:rPr>
          <w:rFonts w:ascii="Times New Roman" w:hAnsi="Times New Roman"/>
          <w:sz w:val="28"/>
          <w:szCs w:val="28"/>
        </w:rPr>
        <w:t xml:space="preserve">ня всього в сумі </w:t>
      </w:r>
      <w:r w:rsidR="000E246A">
        <w:rPr>
          <w:rFonts w:ascii="Times New Roman" w:hAnsi="Times New Roman"/>
          <w:sz w:val="28"/>
          <w:szCs w:val="28"/>
        </w:rPr>
        <w:t>4456297,70</w:t>
      </w:r>
      <w:r w:rsidR="005907E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53,9</w:t>
      </w:r>
      <w:r w:rsidRPr="002F4DB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2147531,45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2308766,25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27,92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</w:t>
      </w:r>
      <w:r w:rsidR="000E246A">
        <w:rPr>
          <w:rFonts w:ascii="Times New Roman" w:hAnsi="Times New Roman"/>
          <w:sz w:val="28"/>
          <w:szCs w:val="28"/>
        </w:rPr>
        <w:t>1 року в сумі 3813769,12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46,1</w:t>
      </w:r>
      <w:r w:rsidRPr="002F4DBF">
        <w:rPr>
          <w:rFonts w:ascii="Times New Roman" w:hAnsi="Times New Roman"/>
          <w:sz w:val="28"/>
          <w:szCs w:val="28"/>
        </w:rPr>
        <w:t xml:space="preserve">% від власних та закріплених доходів бюджету за фондами в цілому. </w:t>
      </w:r>
    </w:p>
    <w:p w:rsidR="00546E64" w:rsidRPr="00CF103B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E64" w:rsidRPr="00CF103B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3B">
        <w:rPr>
          <w:rFonts w:ascii="Times New Roman" w:hAnsi="Times New Roman"/>
          <w:b/>
          <w:sz w:val="28"/>
          <w:szCs w:val="28"/>
        </w:rPr>
        <w:t>ВИДАТКИ ТА ЗАБОРГОВАНІСТЬ</w:t>
      </w:r>
    </w:p>
    <w:p w:rsidR="00546E64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Видатки в цілому</w:t>
      </w:r>
    </w:p>
    <w:p w:rsidR="00AC3DBE" w:rsidRPr="006D5A11" w:rsidRDefault="00AC3DBE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6E64" w:rsidRPr="006D5A11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вико</w:t>
      </w:r>
      <w:r w:rsidR="00AC3DBE">
        <w:rPr>
          <w:rFonts w:ascii="Times New Roman" w:hAnsi="Times New Roman"/>
          <w:sz w:val="28"/>
          <w:szCs w:val="28"/>
        </w:rPr>
        <w:t xml:space="preserve">нані в сумі 12 455991,75 грн. </w:t>
      </w:r>
      <w:r w:rsidRPr="006D5A11">
        <w:rPr>
          <w:rFonts w:ascii="Times New Roman" w:hAnsi="Times New Roman"/>
          <w:sz w:val="28"/>
          <w:szCs w:val="28"/>
        </w:rPr>
        <w:t>Із загального фонду бюджету Степанківської сільської територіальної громади на утримання установ, фінансування програм та заходів спрямовано 12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>174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 xml:space="preserve">725,13 грн, передано міжбюджетних трансферів іншим бюджетам – </w:t>
      </w:r>
      <w:r w:rsidRPr="00AC3DBE">
        <w:rPr>
          <w:rFonts w:ascii="Times New Roman" w:hAnsi="Times New Roman"/>
          <w:sz w:val="28"/>
          <w:szCs w:val="28"/>
        </w:rPr>
        <w:t>545 938</w:t>
      </w:r>
      <w:r w:rsidR="006D5A11">
        <w:rPr>
          <w:rFonts w:ascii="Times New Roman" w:hAnsi="Times New Roman"/>
          <w:sz w:val="28"/>
          <w:szCs w:val="28"/>
        </w:rPr>
        <w:t>,00грн.</w:t>
      </w:r>
    </w:p>
    <w:p w:rsidR="00AC3DBE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На фінансування закладів освіти використано – 7 645 249,33грн (61,4% загального обсягу видатків), соціального захисту та соціального забезпечення населення – 302 211,81грн (2,4%), культури та мистецтва – 568 708,34  грн (4,6%), державне управління –  2 411 472,89 грн. (19,4%),  житлово-комунальне господарство – 409 062,39 грн (3,3%), захист населення і території від надзвичайних ситуацій техногенного та природного характеру (діяльність місцевої пожежної охорони) – 430 294,21 грн. (3,5%),  інші видатки (з урахуванням міжбюджетних трансферів) – 688 992,78 грн.</w:t>
      </w:r>
      <w:r w:rsidRPr="006D5A11">
        <w:t xml:space="preserve"> </w:t>
      </w:r>
      <w:r w:rsidRPr="006D5A11">
        <w:rPr>
          <w:rFonts w:ascii="Times New Roman" w:hAnsi="Times New Roman"/>
          <w:sz w:val="28"/>
          <w:szCs w:val="28"/>
        </w:rPr>
        <w:t xml:space="preserve">(5,5%). </w:t>
      </w:r>
    </w:p>
    <w:p w:rsidR="00546E64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І квартал 2021 року наводиться у додатку 5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Видатки загального фонду бюджету за функціональною структурою за І квартал 2021 року</w:t>
      </w:r>
      <w:r w:rsidR="00AC3DB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AC3DBE" w:rsidRPr="00AC3DBE">
        <w:rPr>
          <w:rFonts w:ascii="Times New Roman" w:hAnsi="Times New Roman"/>
          <w:sz w:val="28"/>
          <w:szCs w:val="28"/>
          <w:u w:val="single"/>
        </w:rPr>
        <w:t>тис.грн</w:t>
      </w: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546E64" w:rsidRDefault="00546E64" w:rsidP="00546E64">
      <w:pPr>
        <w:spacing w:after="0" w:line="240" w:lineRule="auto"/>
        <w:jc w:val="both"/>
      </w:pPr>
      <w:r w:rsidRPr="00546E64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BDECBE0" wp14:editId="1D400E31">
            <wp:extent cx="6115050" cy="3609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546E64">
        <w:t xml:space="preserve"> </w:t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на утримання установ, фінансування програм та заходів спрямовано 281 266,62 грн. На фінансування закладів освіти використано – </w:t>
      </w:r>
      <w:r w:rsidRPr="00AC3DBE">
        <w:rPr>
          <w:rFonts w:ascii="Times New Roman" w:hAnsi="Times New Roman"/>
          <w:sz w:val="28"/>
          <w:szCs w:val="28"/>
          <w:lang w:val="ru-RU"/>
        </w:rPr>
        <w:t>247 668,62</w:t>
      </w:r>
      <w:r w:rsidRPr="00AC3DBE">
        <w:rPr>
          <w:rFonts w:ascii="Times New Roman" w:hAnsi="Times New Roman"/>
          <w:sz w:val="28"/>
          <w:szCs w:val="28"/>
        </w:rPr>
        <w:t xml:space="preserve"> грн (</w:t>
      </w:r>
      <w:r w:rsidRPr="00AC3DBE">
        <w:rPr>
          <w:rFonts w:ascii="Times New Roman" w:hAnsi="Times New Roman"/>
          <w:sz w:val="28"/>
          <w:szCs w:val="28"/>
          <w:lang w:val="ru-RU"/>
        </w:rPr>
        <w:t>88</w:t>
      </w:r>
      <w:r w:rsidRPr="00AC3DBE">
        <w:rPr>
          <w:rFonts w:ascii="Times New Roman" w:hAnsi="Times New Roman"/>
          <w:sz w:val="28"/>
          <w:szCs w:val="28"/>
        </w:rPr>
        <w:t xml:space="preserve">% загального обсягу видатків), державне управління – </w:t>
      </w:r>
      <w:r w:rsidRPr="00AC3DBE">
        <w:rPr>
          <w:rFonts w:ascii="Times New Roman" w:hAnsi="Times New Roman"/>
          <w:sz w:val="28"/>
          <w:szCs w:val="28"/>
          <w:lang w:val="ru-RU"/>
        </w:rPr>
        <w:t>1260</w:t>
      </w:r>
      <w:r w:rsidR="00AC3DBE">
        <w:rPr>
          <w:rFonts w:ascii="Times New Roman" w:hAnsi="Times New Roman"/>
          <w:sz w:val="28"/>
          <w:szCs w:val="28"/>
        </w:rPr>
        <w:t>0,00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4,5</w:t>
      </w:r>
      <w:r w:rsidRPr="00AC3DBE">
        <w:rPr>
          <w:rFonts w:ascii="Times New Roman" w:hAnsi="Times New Roman"/>
          <w:sz w:val="28"/>
          <w:szCs w:val="28"/>
        </w:rPr>
        <w:t xml:space="preserve">%),  житлово-комунальне господарство – </w:t>
      </w:r>
      <w:r w:rsidRPr="00AC3DBE">
        <w:rPr>
          <w:rFonts w:ascii="Times New Roman" w:hAnsi="Times New Roman"/>
          <w:sz w:val="28"/>
          <w:szCs w:val="28"/>
          <w:lang w:val="ru-RU"/>
        </w:rPr>
        <w:t>20998</w:t>
      </w:r>
      <w:r w:rsidR="00AC3DBE">
        <w:rPr>
          <w:rFonts w:ascii="Times New Roman" w:hAnsi="Times New Roman"/>
          <w:sz w:val="28"/>
          <w:szCs w:val="28"/>
        </w:rPr>
        <w:t>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7,5</w:t>
      </w:r>
      <w:r w:rsidRPr="00AC3DBE">
        <w:rPr>
          <w:rFonts w:ascii="Times New Roman" w:hAnsi="Times New Roman"/>
          <w:sz w:val="28"/>
          <w:szCs w:val="28"/>
        </w:rPr>
        <w:t>%).</w:t>
      </w:r>
    </w:p>
    <w:p w:rsid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І квартал 2021 року наводиться у додатку 6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92F9695" wp14:editId="11B0BE2E">
            <wp:extent cx="5924550" cy="1295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Дина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міка видатків загального фонду бюджету у розрізі основних галузей, </w:t>
      </w:r>
      <w:r w:rsidRPr="00AC3DBE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C3DBE" w:rsidRDefault="00AC3DBE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6E64" w:rsidRPr="00546E64" w:rsidRDefault="00546E64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64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lastRenderedPageBreak/>
        <w:drawing>
          <wp:inline distT="0" distB="0" distL="0" distR="0" wp14:anchorId="3D6D4205" wp14:editId="238A99F4">
            <wp:extent cx="5581650" cy="3924300"/>
            <wp:effectExtent l="0" t="0" r="0" b="0"/>
            <wp:docPr id="1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6E64" w:rsidRPr="00AC3DBE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видатки на заробітну плату з нарахуваннями – 10 128 899,69 грн або 83%;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оплата комунальних послуг та енергоносіїв – 580 819,16 грн, або 4,8%.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 інші виплати населенню – 226 677,20 грн  або 10%;</w:t>
      </w:r>
    </w:p>
    <w:p w:rsidR="00546E64" w:rsidRPr="00AC3DBE" w:rsidRDefault="00546E64" w:rsidP="00AC3DB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545 938,00 грн. або 4,5%;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692 391,08 грн або 5,7%.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         На </w:t>
      </w:r>
      <w:r w:rsidRPr="00AC3DBE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C3DBE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11 720 391,06 грн, що в цілому становить </w:t>
      </w:r>
      <w:r w:rsidRPr="00AC3DBE">
        <w:rPr>
          <w:rFonts w:ascii="Times New Roman" w:hAnsi="Times New Roman"/>
          <w:sz w:val="28"/>
          <w:szCs w:val="28"/>
          <w:u w:val="single"/>
        </w:rPr>
        <w:t>66,9% до уточнених призначень на період</w:t>
      </w:r>
      <w:r w:rsidRPr="00AC3DBE">
        <w:rPr>
          <w:rFonts w:ascii="Times New Roman" w:hAnsi="Times New Roman"/>
          <w:sz w:val="28"/>
          <w:szCs w:val="28"/>
        </w:rPr>
        <w:t>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10 128 899,69 грн, що становить  57,8% до уточнених призначень на період.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</w:t>
      </w:r>
      <w:r w:rsidR="00F663E0">
        <w:rPr>
          <w:rFonts w:ascii="Times New Roman" w:hAnsi="Times New Roman"/>
          <w:sz w:val="28"/>
          <w:szCs w:val="28"/>
        </w:rPr>
        <w:t>сумі 580 819,16 грн</w:t>
      </w:r>
      <w:r w:rsidRPr="00AC3DBE">
        <w:rPr>
          <w:rFonts w:ascii="Times New Roman" w:hAnsi="Times New Roman"/>
          <w:sz w:val="28"/>
          <w:szCs w:val="28"/>
        </w:rPr>
        <w:t>, виконання склало 3,3%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53" w:rsidRDefault="00A82153" w:rsidP="00F4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012658" w:rsidRDefault="0001265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Видатки на утримання апарату управління</w:t>
      </w:r>
      <w:r w:rsidR="00E13488">
        <w:rPr>
          <w:sz w:val="28"/>
          <w:szCs w:val="28"/>
        </w:rPr>
        <w:t>, служби у справах дітей</w:t>
      </w:r>
      <w:r w:rsidRPr="00C63660">
        <w:rPr>
          <w:sz w:val="28"/>
          <w:szCs w:val="28"/>
        </w:rPr>
        <w:t xml:space="preserve">: фактично використано </w:t>
      </w:r>
      <w:r w:rsidR="00F703D0">
        <w:rPr>
          <w:sz w:val="28"/>
          <w:szCs w:val="28"/>
        </w:rPr>
        <w:t xml:space="preserve">за </w:t>
      </w:r>
      <w:r w:rsidR="00E13488">
        <w:rPr>
          <w:sz w:val="28"/>
          <w:szCs w:val="28"/>
        </w:rPr>
        <w:t>І квартал</w:t>
      </w:r>
      <w:r>
        <w:rPr>
          <w:sz w:val="28"/>
          <w:szCs w:val="28"/>
        </w:rPr>
        <w:t xml:space="preserve"> 20</w:t>
      </w:r>
      <w:r w:rsidR="00E13488">
        <w:rPr>
          <w:sz w:val="28"/>
          <w:szCs w:val="28"/>
        </w:rPr>
        <w:t>2</w:t>
      </w:r>
      <w:r w:rsidR="00546E64">
        <w:rPr>
          <w:sz w:val="28"/>
          <w:szCs w:val="28"/>
        </w:rPr>
        <w:t>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 w:rsidR="00F663E0">
        <w:rPr>
          <w:sz w:val="28"/>
          <w:szCs w:val="28"/>
        </w:rPr>
        <w:t>2435011,80 грн</w:t>
      </w:r>
      <w:r w:rsidRPr="00C63660">
        <w:rPr>
          <w:sz w:val="28"/>
          <w:szCs w:val="28"/>
        </w:rPr>
        <w:t xml:space="preserve">, виконання плану становить </w:t>
      </w:r>
      <w:r w:rsidR="00F663E0">
        <w:rPr>
          <w:sz w:val="28"/>
          <w:szCs w:val="28"/>
        </w:rPr>
        <w:t>79</w:t>
      </w:r>
      <w:r w:rsidR="00E13488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до призначень</w:t>
      </w:r>
      <w:r>
        <w:rPr>
          <w:sz w:val="28"/>
          <w:szCs w:val="28"/>
        </w:rPr>
        <w:t xml:space="preserve"> на період</w:t>
      </w:r>
      <w:r w:rsidR="00E13488">
        <w:rPr>
          <w:sz w:val="28"/>
          <w:szCs w:val="28"/>
        </w:rPr>
        <w:t xml:space="preserve"> з урахуванням змін, з них:</w:t>
      </w:r>
    </w:p>
    <w:p w:rsidR="00E13488" w:rsidRDefault="00E1348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апа</w:t>
      </w:r>
      <w:r w:rsidR="00F663E0">
        <w:rPr>
          <w:sz w:val="28"/>
          <w:szCs w:val="28"/>
        </w:rPr>
        <w:t>рат управління  -</w:t>
      </w:r>
      <w:r w:rsidR="00E40354">
        <w:rPr>
          <w:sz w:val="28"/>
          <w:szCs w:val="28"/>
        </w:rPr>
        <w:t>2341323,68</w:t>
      </w:r>
      <w:r w:rsidR="00F663E0">
        <w:rPr>
          <w:sz w:val="28"/>
          <w:szCs w:val="28"/>
        </w:rPr>
        <w:t xml:space="preserve"> грн</w:t>
      </w:r>
      <w:r>
        <w:rPr>
          <w:sz w:val="28"/>
          <w:szCs w:val="28"/>
        </w:rPr>
        <w:t>;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служба у справах дітей – </w:t>
      </w:r>
      <w:r w:rsidR="00E40354">
        <w:rPr>
          <w:sz w:val="28"/>
          <w:szCs w:val="28"/>
        </w:rPr>
        <w:t>93688,12</w:t>
      </w:r>
      <w:r>
        <w:rPr>
          <w:sz w:val="28"/>
          <w:szCs w:val="28"/>
        </w:rPr>
        <w:t xml:space="preserve"> грн;</w:t>
      </w:r>
    </w:p>
    <w:p w:rsidR="0074528D" w:rsidRDefault="0074528D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І квартал 2021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>ку по головному розпоряднику коштів Виконавчий комітет Степанківської сільської ради  склали 12025103,40 грн, по головному розпоряднику коштів Фінансовий відділ Степанківської сільської ради склали 149621,73 грн.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13488">
        <w:rPr>
          <w:sz w:val="28"/>
          <w:szCs w:val="28"/>
        </w:rPr>
        <w:t xml:space="preserve">На </w:t>
      </w:r>
      <w:r w:rsidRPr="002B63D1">
        <w:rPr>
          <w:sz w:val="28"/>
          <w:szCs w:val="28"/>
          <w:u w:val="single"/>
        </w:rPr>
        <w:t>захищені видатки</w:t>
      </w:r>
      <w:r w:rsidRPr="00E13488">
        <w:rPr>
          <w:sz w:val="28"/>
          <w:szCs w:val="28"/>
        </w:rPr>
        <w:t xml:space="preserve"> за звітний період спрямовано</w:t>
      </w:r>
      <w:r w:rsidR="00F663E0">
        <w:rPr>
          <w:sz w:val="28"/>
          <w:szCs w:val="28"/>
        </w:rPr>
        <w:t xml:space="preserve"> </w:t>
      </w:r>
      <w:r w:rsidR="00E40354">
        <w:rPr>
          <w:sz w:val="28"/>
          <w:szCs w:val="28"/>
        </w:rPr>
        <w:t>2278719,41</w:t>
      </w:r>
      <w:r w:rsidR="00F663E0">
        <w:rPr>
          <w:sz w:val="28"/>
          <w:szCs w:val="28"/>
        </w:rPr>
        <w:t>грн</w:t>
      </w:r>
      <w:r>
        <w:rPr>
          <w:sz w:val="28"/>
          <w:szCs w:val="28"/>
        </w:rPr>
        <w:t>, що складає 94% видатків за звітний період,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1858203,19</w:t>
      </w:r>
      <w:r w:rsidR="00F936F2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нарахування – </w:t>
      </w:r>
      <w:r w:rsidR="0074528D">
        <w:rPr>
          <w:sz w:val="28"/>
          <w:szCs w:val="28"/>
        </w:rPr>
        <w:t>364593,36 грн</w:t>
      </w:r>
      <w:r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82</w:t>
      </w:r>
      <w:r w:rsidR="00545B36">
        <w:rPr>
          <w:sz w:val="28"/>
          <w:szCs w:val="28"/>
        </w:rPr>
        <w:t xml:space="preserve">%. </w:t>
      </w:r>
      <w:r w:rsidRPr="00C63660">
        <w:rPr>
          <w:sz w:val="28"/>
          <w:szCs w:val="28"/>
        </w:rPr>
        <w:t>Факт</w:t>
      </w:r>
      <w:r w:rsidR="002B63D1">
        <w:rPr>
          <w:sz w:val="28"/>
          <w:szCs w:val="28"/>
        </w:rPr>
        <w:t xml:space="preserve">ично зайнята </w:t>
      </w:r>
      <w:r w:rsidR="00F936F2">
        <w:rPr>
          <w:sz w:val="28"/>
          <w:szCs w:val="28"/>
        </w:rPr>
        <w:t>чисел</w:t>
      </w:r>
      <w:r w:rsidR="002B63D1">
        <w:rPr>
          <w:sz w:val="28"/>
          <w:szCs w:val="28"/>
        </w:rPr>
        <w:t>ьність станом на 01.04</w:t>
      </w:r>
      <w:r w:rsidRPr="00C63660">
        <w:rPr>
          <w:sz w:val="28"/>
          <w:szCs w:val="28"/>
        </w:rPr>
        <w:t>.20</w:t>
      </w:r>
      <w:r w:rsidR="00F663E0">
        <w:rPr>
          <w:sz w:val="28"/>
          <w:szCs w:val="28"/>
        </w:rPr>
        <w:t>21</w:t>
      </w:r>
      <w:r w:rsidRPr="00C63660">
        <w:rPr>
          <w:sz w:val="28"/>
          <w:szCs w:val="28"/>
        </w:rPr>
        <w:t xml:space="preserve"> </w:t>
      </w:r>
      <w:r w:rsidR="002B63D1">
        <w:rPr>
          <w:sz w:val="28"/>
          <w:szCs w:val="28"/>
        </w:rPr>
        <w:t>року</w:t>
      </w:r>
      <w:r w:rsidRPr="00C63660">
        <w:rPr>
          <w:sz w:val="28"/>
          <w:szCs w:val="28"/>
        </w:rPr>
        <w:t xml:space="preserve"> склала </w:t>
      </w:r>
      <w:r w:rsidR="00F663E0">
        <w:rPr>
          <w:sz w:val="28"/>
          <w:szCs w:val="28"/>
        </w:rPr>
        <w:t>40,25</w:t>
      </w:r>
      <w:r w:rsidRPr="00C63660">
        <w:rPr>
          <w:sz w:val="28"/>
          <w:szCs w:val="28"/>
        </w:rPr>
        <w:t xml:space="preserve"> од. при плановій чисельності </w:t>
      </w:r>
      <w:r w:rsidR="00F663E0">
        <w:rPr>
          <w:sz w:val="28"/>
          <w:szCs w:val="28"/>
        </w:rPr>
        <w:t>50,25</w:t>
      </w:r>
      <w:r w:rsidRPr="00C63660">
        <w:rPr>
          <w:sz w:val="28"/>
          <w:szCs w:val="28"/>
        </w:rPr>
        <w:t>од.;</w:t>
      </w:r>
    </w:p>
    <w:p w:rsidR="002B63D1" w:rsidRPr="002B63D1" w:rsidRDefault="002B63D1" w:rsidP="002B63D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3D1">
        <w:rPr>
          <w:sz w:val="28"/>
          <w:szCs w:val="28"/>
        </w:rPr>
        <w:t xml:space="preserve">- на оплату електроенергії – </w:t>
      </w:r>
      <w:r w:rsidR="0074528D">
        <w:rPr>
          <w:sz w:val="28"/>
          <w:szCs w:val="28"/>
        </w:rPr>
        <w:t>52520,01 грн</w:t>
      </w:r>
      <w:r w:rsidR="00D10EDD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99,8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2B63D1" w:rsidRDefault="002B63D1" w:rsidP="002B63D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B63D1">
        <w:rPr>
          <w:sz w:val="28"/>
          <w:szCs w:val="28"/>
        </w:rPr>
        <w:t xml:space="preserve">- на оплату природного газу – </w:t>
      </w:r>
      <w:r w:rsidR="0074528D">
        <w:rPr>
          <w:sz w:val="28"/>
          <w:szCs w:val="28"/>
        </w:rPr>
        <w:t>12502,85 грн</w:t>
      </w:r>
      <w:r w:rsidRPr="002B63D1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39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012658" w:rsidRDefault="000A59F5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792">
        <w:rPr>
          <w:sz w:val="28"/>
          <w:szCs w:val="28"/>
        </w:rPr>
        <w:t>Н</w:t>
      </w:r>
      <w:r w:rsidR="00012658" w:rsidRPr="00C63660">
        <w:rPr>
          <w:sz w:val="28"/>
          <w:szCs w:val="28"/>
        </w:rPr>
        <w:t>а придбання предметів, матері</w:t>
      </w:r>
      <w:r w:rsidR="008522C5">
        <w:rPr>
          <w:sz w:val="28"/>
          <w:szCs w:val="28"/>
        </w:rPr>
        <w:t xml:space="preserve">алів, </w:t>
      </w:r>
      <w:r w:rsidR="00501BEA">
        <w:rPr>
          <w:sz w:val="28"/>
          <w:szCs w:val="28"/>
        </w:rPr>
        <w:t xml:space="preserve">обладнання та інвентарю – </w:t>
      </w:r>
      <w:r w:rsidR="0074528D">
        <w:rPr>
          <w:sz w:val="28"/>
          <w:szCs w:val="28"/>
        </w:rPr>
        <w:t>75250,29грн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78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 н</w:t>
      </w:r>
      <w:r w:rsidR="00012658" w:rsidRPr="00C63660">
        <w:rPr>
          <w:sz w:val="28"/>
          <w:szCs w:val="28"/>
        </w:rPr>
        <w:t>а оплату послуг (крім комунальних)</w:t>
      </w:r>
      <w:r w:rsidR="00CD6792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74528D">
        <w:rPr>
          <w:sz w:val="28"/>
          <w:szCs w:val="28"/>
        </w:rPr>
        <w:t>70085,07 грн</w:t>
      </w:r>
      <w:r w:rsidR="00012658" w:rsidRPr="00C63660">
        <w:rPr>
          <w:sz w:val="28"/>
          <w:szCs w:val="28"/>
        </w:rPr>
        <w:t>, вик</w:t>
      </w:r>
      <w:r w:rsidR="00E712F3">
        <w:rPr>
          <w:sz w:val="28"/>
          <w:szCs w:val="28"/>
        </w:rPr>
        <w:t xml:space="preserve">онання </w:t>
      </w:r>
      <w:r w:rsidR="0074528D">
        <w:rPr>
          <w:sz w:val="28"/>
          <w:szCs w:val="28"/>
        </w:rPr>
        <w:t>56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</w:t>
      </w:r>
      <w:r w:rsidR="00012658" w:rsidRPr="00C63660">
        <w:rPr>
          <w:sz w:val="28"/>
          <w:szCs w:val="28"/>
        </w:rPr>
        <w:t xml:space="preserve"> на </w:t>
      </w:r>
      <w:r w:rsidR="0074528D">
        <w:rPr>
          <w:sz w:val="28"/>
          <w:szCs w:val="28"/>
        </w:rPr>
        <w:t>інші поточні видатки</w:t>
      </w:r>
      <w:r w:rsidR="00012658" w:rsidRPr="00C63660"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1857,03</w:t>
      </w:r>
      <w:r w:rsidR="00E712F3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</w:t>
      </w:r>
      <w:r w:rsidR="00F85A28">
        <w:rPr>
          <w:sz w:val="28"/>
          <w:szCs w:val="28"/>
        </w:rPr>
        <w:t>%.</w:t>
      </w:r>
    </w:p>
    <w:p w:rsidR="00F85A28" w:rsidRPr="00CD6792" w:rsidRDefault="00F85A28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Оплачено послуги друку оголошення, телекомунікаційні послуги, </w:t>
      </w:r>
      <w:r w:rsidR="00821A75">
        <w:rPr>
          <w:sz w:val="28"/>
          <w:szCs w:val="28"/>
        </w:rPr>
        <w:t xml:space="preserve">послуги з </w:t>
      </w:r>
      <w:r w:rsidR="002E4FC6">
        <w:rPr>
          <w:sz w:val="28"/>
          <w:szCs w:val="28"/>
        </w:rPr>
        <w:t xml:space="preserve">обслуговування та </w:t>
      </w:r>
      <w:r w:rsidR="00821A75">
        <w:rPr>
          <w:sz w:val="28"/>
          <w:szCs w:val="28"/>
        </w:rPr>
        <w:t xml:space="preserve">супроводу </w:t>
      </w:r>
      <w:r w:rsidRPr="00F85A28">
        <w:rPr>
          <w:sz w:val="28"/>
          <w:szCs w:val="28"/>
        </w:rPr>
        <w:t>ПЗ "Дебет Плюс"</w:t>
      </w:r>
      <w:r w:rsidR="002E4FC6">
        <w:rPr>
          <w:sz w:val="28"/>
          <w:szCs w:val="28"/>
        </w:rPr>
        <w:t xml:space="preserve">, </w:t>
      </w:r>
      <w:r w:rsidR="00AD1002" w:rsidRPr="00AD1002">
        <w:rPr>
          <w:sz w:val="28"/>
          <w:szCs w:val="28"/>
        </w:rPr>
        <w:t>послуги по супроводженню та обслуговуванню ПК "Мiсцевий бюджет"</w:t>
      </w:r>
      <w:r w:rsidR="00D812D5">
        <w:rPr>
          <w:sz w:val="28"/>
          <w:szCs w:val="28"/>
        </w:rPr>
        <w:t xml:space="preserve">, послуги </w:t>
      </w:r>
      <w:r w:rsidR="000D5810">
        <w:rPr>
          <w:sz w:val="28"/>
          <w:szCs w:val="28"/>
        </w:rPr>
        <w:t>технічн</w:t>
      </w:r>
      <w:r w:rsidR="00AD1002">
        <w:rPr>
          <w:sz w:val="28"/>
          <w:szCs w:val="28"/>
        </w:rPr>
        <w:t>ої</w:t>
      </w:r>
      <w:r w:rsidR="000D5810">
        <w:rPr>
          <w:sz w:val="28"/>
          <w:szCs w:val="28"/>
        </w:rPr>
        <w:t xml:space="preserve"> </w:t>
      </w:r>
      <w:r w:rsidR="00AD1002">
        <w:rPr>
          <w:sz w:val="28"/>
          <w:szCs w:val="28"/>
        </w:rPr>
        <w:t xml:space="preserve">експлуатації та </w:t>
      </w:r>
      <w:r w:rsidR="000D5810">
        <w:rPr>
          <w:sz w:val="28"/>
          <w:szCs w:val="28"/>
        </w:rPr>
        <w:t>об</w:t>
      </w:r>
      <w:r w:rsidR="00AD1002">
        <w:rPr>
          <w:sz w:val="28"/>
          <w:szCs w:val="28"/>
        </w:rPr>
        <w:t>слуговування електрообладнання будівлі,</w:t>
      </w:r>
      <w:r w:rsidR="00D812D5" w:rsidRPr="00D812D5">
        <w:t xml:space="preserve"> </w:t>
      </w:r>
      <w:r w:rsidR="00D812D5" w:rsidRPr="00D812D5">
        <w:rPr>
          <w:sz w:val="28"/>
          <w:szCs w:val="28"/>
        </w:rPr>
        <w:t>послуги оновлення до комп'ютерної програми "IS-prо"</w:t>
      </w:r>
      <w:r w:rsidR="00D812D5">
        <w:rPr>
          <w:sz w:val="28"/>
          <w:szCs w:val="28"/>
        </w:rPr>
        <w:t xml:space="preserve">, послуги </w:t>
      </w:r>
      <w:r w:rsidR="00D812D5" w:rsidRPr="00D812D5">
        <w:rPr>
          <w:sz w:val="28"/>
          <w:szCs w:val="28"/>
        </w:rPr>
        <w:t>постачання примiрника та покетiв оновлень (компонент)</w:t>
      </w:r>
      <w:r w:rsidR="000A59F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КП "M.E.Doc", </w:t>
      </w:r>
      <w:r w:rsidR="00D812D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 </w:t>
      </w:r>
      <w:r w:rsidR="00D812D5">
        <w:rPr>
          <w:sz w:val="28"/>
          <w:szCs w:val="28"/>
        </w:rPr>
        <w:t>послуги заправки</w:t>
      </w:r>
      <w:r w:rsidR="00D812D5" w:rsidRPr="00D812D5">
        <w:rPr>
          <w:sz w:val="28"/>
          <w:szCs w:val="28"/>
        </w:rPr>
        <w:t xml:space="preserve"> та вiдновлення картриджiв лазерного друку</w:t>
      </w:r>
      <w:r w:rsidR="00D812D5">
        <w:rPr>
          <w:sz w:val="28"/>
          <w:szCs w:val="28"/>
        </w:rPr>
        <w:t xml:space="preserve"> принтера, </w:t>
      </w:r>
      <w:r w:rsidR="00D812D5" w:rsidRPr="00D812D5">
        <w:rPr>
          <w:sz w:val="28"/>
          <w:szCs w:val="28"/>
        </w:rPr>
        <w:t>послуги по розмiщенню веб-сайту stepankivska.gr.org.ua</w:t>
      </w:r>
      <w:r w:rsidR="00D812D5">
        <w:rPr>
          <w:sz w:val="28"/>
          <w:szCs w:val="28"/>
        </w:rPr>
        <w:t>.</w:t>
      </w:r>
    </w:p>
    <w:p w:rsidR="00411E2F" w:rsidRDefault="00CD6792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По спеціальному фонду використано </w:t>
      </w:r>
      <w:r w:rsidR="00C1313D">
        <w:rPr>
          <w:rFonts w:ascii="Times New Roman" w:hAnsi="Times New Roman"/>
          <w:sz w:val="28"/>
          <w:szCs w:val="28"/>
        </w:rPr>
        <w:t>12600,00 грн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або </w:t>
      </w:r>
      <w:r w:rsidR="00C1313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012658">
        <w:rPr>
          <w:rFonts w:ascii="Times New Roman" w:hAnsi="Times New Roman"/>
          <w:sz w:val="28"/>
          <w:szCs w:val="28"/>
        </w:rPr>
        <w:t xml:space="preserve"> до призначень в кошторисі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r w:rsidR="00012658">
        <w:rPr>
          <w:rFonts w:ascii="Times New Roman" w:hAnsi="Times New Roman"/>
          <w:sz w:val="28"/>
          <w:szCs w:val="28"/>
        </w:rPr>
        <w:t>з урахуванням внесених змін</w:t>
      </w:r>
      <w:r w:rsidR="00C1313D">
        <w:rPr>
          <w:rFonts w:ascii="Times New Roman" w:hAnsi="Times New Roman"/>
          <w:sz w:val="28"/>
          <w:szCs w:val="28"/>
        </w:rPr>
        <w:t xml:space="preserve"> (</w:t>
      </w:r>
      <w:r w:rsidR="00C1313D" w:rsidRPr="00C1313D">
        <w:rPr>
          <w:rFonts w:ascii="Times New Roman" w:hAnsi="Times New Roman"/>
          <w:sz w:val="28"/>
          <w:szCs w:val="28"/>
        </w:rPr>
        <w:t>КПКВКМБ</w:t>
      </w:r>
      <w:r w:rsidR="00C1313D">
        <w:rPr>
          <w:rFonts w:ascii="Times New Roman" w:hAnsi="Times New Roman"/>
          <w:sz w:val="28"/>
          <w:szCs w:val="28"/>
        </w:rPr>
        <w:t xml:space="preserve"> 3710160)</w:t>
      </w:r>
      <w:r w:rsidR="00012658">
        <w:rPr>
          <w:rFonts w:ascii="Times New Roman" w:hAnsi="Times New Roman"/>
          <w:sz w:val="28"/>
          <w:szCs w:val="28"/>
        </w:rPr>
        <w:t xml:space="preserve">, за </w:t>
      </w:r>
      <w:r w:rsidR="00C1313D">
        <w:rPr>
          <w:rFonts w:ascii="Times New Roman" w:hAnsi="Times New Roman"/>
          <w:sz w:val="28"/>
          <w:szCs w:val="28"/>
        </w:rPr>
        <w:t xml:space="preserve">придбання </w:t>
      </w:r>
      <w:r w:rsidR="00F85A28">
        <w:rPr>
          <w:rFonts w:ascii="Times New Roman" w:hAnsi="Times New Roman"/>
          <w:sz w:val="28"/>
          <w:szCs w:val="28"/>
        </w:rPr>
        <w:t>перс</w:t>
      </w:r>
      <w:r w:rsidR="00C1313D">
        <w:rPr>
          <w:rFonts w:ascii="Times New Roman" w:hAnsi="Times New Roman"/>
          <w:sz w:val="28"/>
          <w:szCs w:val="28"/>
        </w:rPr>
        <w:t>онального комп’ютера.</w:t>
      </w:r>
    </w:p>
    <w:p w:rsidR="00C1313D" w:rsidRPr="00C63660" w:rsidRDefault="00C1313D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утримання закладів освіти </w:t>
      </w:r>
      <w:r w:rsidR="00B4052F">
        <w:rPr>
          <w:rFonts w:ascii="Times New Roman" w:hAnsi="Times New Roman"/>
          <w:sz w:val="28"/>
          <w:szCs w:val="28"/>
        </w:rPr>
        <w:t xml:space="preserve">та центру професійного розвитку </w:t>
      </w:r>
      <w:r w:rsidRPr="00C63660">
        <w:rPr>
          <w:rFonts w:ascii="Times New Roman" w:hAnsi="Times New Roman"/>
          <w:sz w:val="28"/>
          <w:szCs w:val="28"/>
        </w:rPr>
        <w:t>у бюд</w:t>
      </w:r>
      <w:r w:rsidR="00B4052F">
        <w:rPr>
          <w:rFonts w:ascii="Times New Roman" w:hAnsi="Times New Roman"/>
          <w:sz w:val="28"/>
          <w:szCs w:val="28"/>
        </w:rPr>
        <w:t>жеті Степанківської</w:t>
      </w:r>
      <w:r w:rsidRPr="00C63660">
        <w:rPr>
          <w:rFonts w:ascii="Times New Roman" w:hAnsi="Times New Roman"/>
          <w:sz w:val="28"/>
          <w:szCs w:val="28"/>
        </w:rPr>
        <w:t xml:space="preserve">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 xml:space="preserve">за </w:t>
      </w:r>
      <w:r w:rsidR="008C26DF">
        <w:rPr>
          <w:rFonts w:ascii="Times New Roman" w:hAnsi="Times New Roman"/>
          <w:sz w:val="28"/>
          <w:szCs w:val="28"/>
        </w:rPr>
        <w:t>І квартал 202</w:t>
      </w:r>
      <w:r w:rsidR="00B4052F">
        <w:rPr>
          <w:rFonts w:ascii="Times New Roman" w:hAnsi="Times New Roman"/>
          <w:sz w:val="28"/>
          <w:szCs w:val="28"/>
        </w:rPr>
        <w:t>1</w:t>
      </w:r>
      <w:r w:rsidR="00820B41">
        <w:rPr>
          <w:rFonts w:ascii="Times New Roman" w:hAnsi="Times New Roman"/>
          <w:sz w:val="28"/>
          <w:szCs w:val="28"/>
        </w:rPr>
        <w:t xml:space="preserve">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</w:t>
      </w:r>
      <w:r w:rsidR="004C2D7E">
        <w:rPr>
          <w:rFonts w:ascii="Times New Roman" w:hAnsi="Times New Roman"/>
          <w:sz w:val="28"/>
          <w:szCs w:val="28"/>
        </w:rPr>
        <w:t xml:space="preserve">на  звітний період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4C2D7E">
        <w:rPr>
          <w:rFonts w:ascii="Times New Roman" w:hAnsi="Times New Roman"/>
          <w:sz w:val="28"/>
          <w:szCs w:val="28"/>
        </w:rPr>
        <w:t>10583898,00 грн</w:t>
      </w:r>
      <w:r w:rsidRPr="00C63660">
        <w:rPr>
          <w:rFonts w:ascii="Times New Roman" w:hAnsi="Times New Roman"/>
          <w:sz w:val="28"/>
          <w:szCs w:val="28"/>
        </w:rPr>
        <w:t xml:space="preserve">, використано – </w:t>
      </w:r>
      <w:r w:rsidR="004C2D7E">
        <w:rPr>
          <w:rFonts w:ascii="Times New Roman" w:hAnsi="Times New Roman"/>
          <w:sz w:val="28"/>
          <w:szCs w:val="28"/>
        </w:rPr>
        <w:t>7397580,71 грн</w:t>
      </w:r>
      <w:r w:rsidRPr="00C63660">
        <w:rPr>
          <w:rFonts w:ascii="Times New Roman" w:hAnsi="Times New Roman"/>
          <w:sz w:val="28"/>
          <w:szCs w:val="28"/>
        </w:rPr>
        <w:t xml:space="preserve">, що становить </w:t>
      </w:r>
      <w:r w:rsidR="004C2D7E">
        <w:rPr>
          <w:rFonts w:ascii="Times New Roman" w:hAnsi="Times New Roman"/>
          <w:sz w:val="28"/>
          <w:szCs w:val="28"/>
        </w:rPr>
        <w:t>70</w:t>
      </w:r>
      <w:r w:rsidR="008C26DF">
        <w:rPr>
          <w:rFonts w:ascii="Times New Roman" w:hAnsi="Times New Roman"/>
          <w:sz w:val="28"/>
          <w:szCs w:val="28"/>
        </w:rPr>
        <w:t>%</w:t>
      </w:r>
      <w:r w:rsidR="00820B41">
        <w:rPr>
          <w:rFonts w:ascii="Times New Roman" w:hAnsi="Times New Roman"/>
          <w:sz w:val="28"/>
          <w:szCs w:val="28"/>
        </w:rPr>
        <w:t xml:space="preserve"> до уточнених призначень. </w:t>
      </w:r>
      <w:r w:rsidRPr="00C63660">
        <w:rPr>
          <w:rFonts w:ascii="Times New Roman" w:hAnsi="Times New Roman"/>
          <w:sz w:val="28"/>
          <w:szCs w:val="28"/>
        </w:rPr>
        <w:t>За рахунок освітн</w:t>
      </w:r>
      <w:r w:rsidR="004C2D7E">
        <w:rPr>
          <w:rFonts w:ascii="Times New Roman" w:hAnsi="Times New Roman"/>
          <w:sz w:val="28"/>
          <w:szCs w:val="28"/>
        </w:rPr>
        <w:t>ь</w:t>
      </w:r>
      <w:r w:rsidRPr="00C63660">
        <w:rPr>
          <w:rFonts w:ascii="Times New Roman" w:hAnsi="Times New Roman"/>
          <w:sz w:val="28"/>
          <w:szCs w:val="28"/>
        </w:rPr>
        <w:t xml:space="preserve">ої субвенції видатки проведені на суму </w:t>
      </w:r>
      <w:r w:rsidR="004C2D7E">
        <w:rPr>
          <w:rFonts w:ascii="Times New Roman" w:hAnsi="Times New Roman"/>
          <w:sz w:val="28"/>
          <w:szCs w:val="28"/>
        </w:rPr>
        <w:t>3134489,71 грн</w:t>
      </w:r>
      <w:r w:rsidRPr="00C63660">
        <w:rPr>
          <w:rFonts w:ascii="Times New Roman" w:hAnsi="Times New Roman"/>
          <w:sz w:val="28"/>
          <w:szCs w:val="28"/>
        </w:rPr>
        <w:t xml:space="preserve"> при її надходженні в сумі </w:t>
      </w:r>
      <w:r w:rsidR="004C2D7E">
        <w:rPr>
          <w:rFonts w:ascii="Times New Roman" w:hAnsi="Times New Roman"/>
          <w:sz w:val="28"/>
          <w:szCs w:val="28"/>
        </w:rPr>
        <w:t>3461000,00 грн,</w:t>
      </w:r>
      <w:r w:rsidRPr="00C63660">
        <w:rPr>
          <w:rFonts w:ascii="Times New Roman" w:hAnsi="Times New Roman"/>
          <w:sz w:val="28"/>
          <w:szCs w:val="28"/>
        </w:rPr>
        <w:t xml:space="preserve"> залишок </w:t>
      </w:r>
      <w:r w:rsidR="001A6031">
        <w:rPr>
          <w:rFonts w:ascii="Times New Roman" w:hAnsi="Times New Roman"/>
          <w:sz w:val="28"/>
          <w:szCs w:val="28"/>
        </w:rPr>
        <w:t xml:space="preserve">поточного року </w:t>
      </w:r>
      <w:r w:rsidRPr="00C63660">
        <w:rPr>
          <w:rFonts w:ascii="Times New Roman" w:hAnsi="Times New Roman"/>
          <w:sz w:val="28"/>
          <w:szCs w:val="28"/>
        </w:rPr>
        <w:t xml:space="preserve">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4C2D7E">
        <w:rPr>
          <w:rFonts w:ascii="Times New Roman" w:hAnsi="Times New Roman"/>
          <w:sz w:val="28"/>
          <w:szCs w:val="28"/>
        </w:rPr>
        <w:t>326510,29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1A6031">
        <w:rPr>
          <w:sz w:val="28"/>
          <w:szCs w:val="28"/>
        </w:rPr>
        <w:t>04.202</w:t>
      </w:r>
      <w:r w:rsidR="004C2D7E">
        <w:rPr>
          <w:sz w:val="28"/>
          <w:szCs w:val="28"/>
        </w:rPr>
        <w:t>1</w:t>
      </w:r>
      <w:r w:rsidRPr="00C63660">
        <w:rPr>
          <w:sz w:val="28"/>
          <w:szCs w:val="28"/>
        </w:rPr>
        <w:t>р</w:t>
      </w:r>
      <w:r w:rsidR="001A6031"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 дошкільних</w:t>
      </w:r>
      <w:r w:rsidR="004C2D7E">
        <w:rPr>
          <w:sz w:val="28"/>
          <w:szCs w:val="28"/>
        </w:rPr>
        <w:t xml:space="preserve"> навчальних закладів становить 3 установи, п</w:t>
      </w:r>
      <w:r w:rsidRPr="00C63660">
        <w:rPr>
          <w:sz w:val="28"/>
          <w:szCs w:val="28"/>
        </w:rPr>
        <w:t xml:space="preserve">ланова чисельність працівників дошкільних навчальних закладів становить </w:t>
      </w:r>
      <w:r w:rsidR="002C3DFF">
        <w:rPr>
          <w:sz w:val="28"/>
          <w:szCs w:val="28"/>
        </w:rPr>
        <w:t>61,15</w:t>
      </w:r>
      <w:r w:rsidRPr="00C63660">
        <w:rPr>
          <w:sz w:val="28"/>
          <w:szCs w:val="28"/>
        </w:rPr>
        <w:t xml:space="preserve"> од., фактично зайнято </w:t>
      </w:r>
      <w:r w:rsidR="002C3DFF">
        <w:rPr>
          <w:sz w:val="28"/>
          <w:szCs w:val="28"/>
        </w:rPr>
        <w:t>59,4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 w:rsidR="002C3DFF">
        <w:rPr>
          <w:sz w:val="28"/>
          <w:szCs w:val="28"/>
        </w:rPr>
        <w:t>1,75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lastRenderedPageBreak/>
        <w:t>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E32CAD">
        <w:rPr>
          <w:rFonts w:ascii="Times New Roman" w:hAnsi="Times New Roman"/>
          <w:sz w:val="28"/>
          <w:szCs w:val="28"/>
        </w:rPr>
        <w:t>1932034,48 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 w:rsidR="00E32CAD">
        <w:rPr>
          <w:rFonts w:ascii="Times New Roman" w:hAnsi="Times New Roman"/>
          <w:sz w:val="28"/>
          <w:szCs w:val="28"/>
        </w:rPr>
        <w:t>2640743,00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 w:rsidR="00E32CAD">
        <w:rPr>
          <w:rFonts w:ascii="Times New Roman" w:hAnsi="Times New Roman"/>
          <w:sz w:val="28"/>
          <w:szCs w:val="28"/>
        </w:rPr>
        <w:t>73</w:t>
      </w:r>
      <w:r w:rsidR="001A6031">
        <w:rPr>
          <w:rFonts w:ascii="Times New Roman" w:hAnsi="Times New Roman"/>
          <w:sz w:val="28"/>
          <w:szCs w:val="28"/>
        </w:rPr>
        <w:t>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E32CAD">
        <w:rPr>
          <w:sz w:val="28"/>
          <w:szCs w:val="28"/>
        </w:rPr>
        <w:t>1429220,99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E32CAD">
        <w:rPr>
          <w:sz w:val="28"/>
          <w:szCs w:val="28"/>
        </w:rPr>
        <w:t>287747,80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82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  <w:r w:rsidR="00E32CAD">
        <w:rPr>
          <w:sz w:val="28"/>
          <w:szCs w:val="28"/>
        </w:rPr>
        <w:t>6118,00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11</w:t>
      </w:r>
      <w:r w:rsidR="00A806E7">
        <w:rPr>
          <w:sz w:val="28"/>
          <w:szCs w:val="28"/>
        </w:rPr>
        <w:t>%;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продуктів харчування – </w:t>
      </w:r>
      <w:r w:rsidR="00FE2D09">
        <w:rPr>
          <w:sz w:val="28"/>
          <w:szCs w:val="28"/>
        </w:rPr>
        <w:t>94752,03грн</w:t>
      </w:r>
      <w:r w:rsidR="00820B41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33</w:t>
      </w:r>
      <w:r w:rsidR="00A806E7">
        <w:rPr>
          <w:sz w:val="28"/>
          <w:szCs w:val="28"/>
        </w:rPr>
        <w:t>%;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оплату послуг – </w:t>
      </w:r>
      <w:r w:rsidR="00FE2D09">
        <w:rPr>
          <w:sz w:val="28"/>
          <w:szCs w:val="28"/>
        </w:rPr>
        <w:t>9583,16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17</w:t>
      </w:r>
      <w:r w:rsidR="00A806E7">
        <w:rPr>
          <w:sz w:val="28"/>
          <w:szCs w:val="28"/>
        </w:rPr>
        <w:t>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FE2D09">
        <w:rPr>
          <w:sz w:val="28"/>
          <w:szCs w:val="28"/>
        </w:rPr>
        <w:t>62944,97</w:t>
      </w:r>
      <w:r w:rsidR="00820B41"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67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FE2D09">
        <w:rPr>
          <w:sz w:val="28"/>
          <w:szCs w:val="28"/>
        </w:rPr>
        <w:t>37054,57 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29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>на інші поточні видатки</w:t>
      </w:r>
      <w:r w:rsidR="00FE2D09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FE2D09">
        <w:rPr>
          <w:sz w:val="28"/>
          <w:szCs w:val="28"/>
        </w:rPr>
        <w:t>4612,96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77</w:t>
      </w:r>
      <w:r w:rsidR="00A806E7">
        <w:rPr>
          <w:sz w:val="28"/>
          <w:szCs w:val="28"/>
        </w:rPr>
        <w:t>%;</w:t>
      </w:r>
    </w:p>
    <w:p w:rsidR="00B700D2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700D2">
        <w:rPr>
          <w:sz w:val="28"/>
          <w:szCs w:val="28"/>
        </w:rPr>
        <w:t xml:space="preserve">На захищені видатки за звітний період спрямовано </w:t>
      </w:r>
      <w:r w:rsidR="00FE2D09">
        <w:rPr>
          <w:sz w:val="28"/>
          <w:szCs w:val="28"/>
        </w:rPr>
        <w:t>1911720,36</w:t>
      </w:r>
      <w:r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B700D2">
        <w:rPr>
          <w:sz w:val="28"/>
          <w:szCs w:val="28"/>
        </w:rPr>
        <w:t xml:space="preserve">, що складає </w:t>
      </w:r>
      <w:r w:rsidR="00FE2D09">
        <w:rPr>
          <w:sz w:val="28"/>
          <w:szCs w:val="28"/>
        </w:rPr>
        <w:t>98</w:t>
      </w:r>
      <w:r w:rsidRPr="00B700D2">
        <w:rPr>
          <w:sz w:val="28"/>
          <w:szCs w:val="28"/>
        </w:rPr>
        <w:t>% видатків за звітний період</w:t>
      </w:r>
      <w:r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</w:t>
      </w:r>
      <w:r w:rsidR="00997246">
        <w:rPr>
          <w:rFonts w:ascii="Times New Roman" w:hAnsi="Times New Roman"/>
          <w:sz w:val="28"/>
          <w:szCs w:val="28"/>
        </w:rPr>
        <w:t>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Степанки</w:t>
            </w:r>
          </w:p>
        </w:tc>
        <w:tc>
          <w:tcPr>
            <w:tcW w:w="1985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</w:p>
        </w:tc>
        <w:tc>
          <w:tcPr>
            <w:tcW w:w="2126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 «Сонечко»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Голов’ятине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63168,20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652488,90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137563,89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1429220,99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137809,25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119674,52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30264,03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287747,80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4018,00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6118,00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46654,00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41787,24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6310,79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94752,03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5927,92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3100,04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555,20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9583,16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19138,63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8698,80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35107,54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62944,97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37054,57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37054,57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4612,96</w:t>
            </w:r>
          </w:p>
        </w:tc>
      </w:tr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855075,96</w:t>
            </w:r>
          </w:p>
        </w:tc>
        <w:tc>
          <w:tcPr>
            <w:tcW w:w="1985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867157,07</w:t>
            </w:r>
          </w:p>
        </w:tc>
        <w:tc>
          <w:tcPr>
            <w:tcW w:w="2126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209801,45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1932034,48</w:t>
            </w:r>
          </w:p>
        </w:tc>
      </w:tr>
    </w:tbl>
    <w:p w:rsidR="00BD3284" w:rsidRPr="00C5078E" w:rsidRDefault="00BD328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0"/>
          <w:szCs w:val="20"/>
        </w:rPr>
      </w:pPr>
    </w:p>
    <w:p w:rsidR="00012658" w:rsidRPr="00C63660" w:rsidRDefault="0050196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01.04.2021</w:t>
      </w:r>
      <w:r w:rsidRPr="00C63660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</w:t>
      </w:r>
      <w:r>
        <w:rPr>
          <w:sz w:val="28"/>
          <w:szCs w:val="28"/>
        </w:rPr>
        <w:t xml:space="preserve"> закладів освіти складає 3 заклади загальної середньої освіти та 1 навчально-виховний комплекс, ф</w:t>
      </w:r>
      <w:r w:rsidR="00012658" w:rsidRPr="00C63660">
        <w:rPr>
          <w:sz w:val="28"/>
          <w:szCs w:val="28"/>
        </w:rPr>
        <w:t xml:space="preserve">актична чисельність працівників </w:t>
      </w:r>
      <w:r>
        <w:rPr>
          <w:sz w:val="28"/>
          <w:szCs w:val="28"/>
        </w:rPr>
        <w:t xml:space="preserve">станом на 01.04.2021 року становить </w:t>
      </w:r>
      <w:r w:rsidR="00D26483">
        <w:rPr>
          <w:sz w:val="28"/>
          <w:szCs w:val="28"/>
        </w:rPr>
        <w:t>141,1</w:t>
      </w:r>
      <w:r w:rsidR="00012658" w:rsidRPr="00C63660">
        <w:rPr>
          <w:sz w:val="28"/>
          <w:szCs w:val="28"/>
        </w:rPr>
        <w:t xml:space="preserve"> од., при плані </w:t>
      </w:r>
      <w:r w:rsidR="00D26483">
        <w:rPr>
          <w:sz w:val="28"/>
          <w:szCs w:val="28"/>
        </w:rPr>
        <w:t>151,4</w:t>
      </w:r>
      <w:r w:rsidR="00012658" w:rsidRPr="00C63660">
        <w:rPr>
          <w:sz w:val="28"/>
          <w:szCs w:val="28"/>
        </w:rPr>
        <w:t xml:space="preserve"> од.</w:t>
      </w:r>
      <w:r w:rsidR="00D26483">
        <w:rPr>
          <w:sz w:val="28"/>
          <w:szCs w:val="28"/>
        </w:rPr>
        <w:t>, вакансій 10,3 од.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закладів</w:t>
      </w:r>
      <w:r w:rsidR="008744BF" w:rsidRPr="008744BF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 xml:space="preserve">освіти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  <w:r w:rsidR="00D26483">
        <w:rPr>
          <w:sz w:val="28"/>
          <w:szCs w:val="28"/>
        </w:rPr>
        <w:t>5317911,40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71,2</w:t>
      </w:r>
      <w:r w:rsidR="00EA503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при уточненому плані </w:t>
      </w:r>
      <w:r w:rsidR="00D26483">
        <w:rPr>
          <w:sz w:val="28"/>
          <w:szCs w:val="28"/>
        </w:rPr>
        <w:t>7471292,00 грн</w:t>
      </w:r>
      <w:r w:rsidRPr="00C63660">
        <w:rPr>
          <w:sz w:val="28"/>
          <w:szCs w:val="28"/>
        </w:rPr>
        <w:t>, з них: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D26483">
        <w:rPr>
          <w:sz w:val="28"/>
          <w:szCs w:val="28"/>
        </w:rPr>
        <w:t>3974121,07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88,1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D26483">
        <w:rPr>
          <w:sz w:val="28"/>
          <w:szCs w:val="28"/>
        </w:rPr>
        <w:t>831586,48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83,8</w:t>
      </w:r>
      <w:r w:rsidR="00463D16">
        <w:rPr>
          <w:sz w:val="28"/>
          <w:szCs w:val="28"/>
        </w:rPr>
        <w:t>%</w:t>
      </w:r>
      <w:r w:rsidR="00D26483">
        <w:rPr>
          <w:sz w:val="28"/>
          <w:szCs w:val="28"/>
        </w:rPr>
        <w:t>;</w:t>
      </w:r>
    </w:p>
    <w:p w:rsidR="008744BF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 w:rsidR="00D26483">
        <w:rPr>
          <w:sz w:val="28"/>
          <w:szCs w:val="28"/>
        </w:rPr>
        <w:t>34038,68грн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 w:rsidR="00D26483">
        <w:rPr>
          <w:sz w:val="28"/>
          <w:szCs w:val="28"/>
        </w:rPr>
        <w:t>29,4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D26483">
        <w:rPr>
          <w:sz w:val="28"/>
          <w:szCs w:val="28"/>
        </w:rPr>
        <w:t>143304,98грн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37,9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D26483">
        <w:rPr>
          <w:sz w:val="28"/>
          <w:szCs w:val="28"/>
        </w:rPr>
        <w:t>70574,21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43,9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D26483">
        <w:rPr>
          <w:sz w:val="28"/>
          <w:szCs w:val="28"/>
        </w:rPr>
        <w:t>37029,34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28,3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D26483">
        <w:rPr>
          <w:sz w:val="28"/>
          <w:szCs w:val="28"/>
        </w:rPr>
        <w:t>185268,64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30,3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7B0FE4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>
        <w:rPr>
          <w:sz w:val="28"/>
          <w:szCs w:val="28"/>
        </w:rPr>
        <w:t>на оплату інших енергон</w:t>
      </w:r>
      <w:r w:rsidR="008744BF">
        <w:rPr>
          <w:sz w:val="28"/>
          <w:szCs w:val="28"/>
        </w:rPr>
        <w:t xml:space="preserve">осіїв (придбання пеллетів) – </w:t>
      </w:r>
      <w:r w:rsidR="00D26483">
        <w:rPr>
          <w:sz w:val="28"/>
          <w:szCs w:val="28"/>
        </w:rPr>
        <w:t>9600,00 грн</w:t>
      </w:r>
      <w:r w:rsidR="00D26483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2,2%</w:t>
      </w:r>
      <w:r w:rsidR="00D26483" w:rsidRPr="00C63660">
        <w:rPr>
          <w:sz w:val="28"/>
          <w:szCs w:val="28"/>
        </w:rPr>
        <w:t>;</w:t>
      </w:r>
    </w:p>
    <w:p w:rsidR="007B0FE4" w:rsidRDefault="007B0FE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інші виплати населенню – </w:t>
      </w:r>
      <w:r w:rsidR="00D26483">
        <w:rPr>
          <w:sz w:val="28"/>
          <w:szCs w:val="28"/>
        </w:rPr>
        <w:t>23988,00 грн</w:t>
      </w:r>
      <w:r w:rsidR="00012658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21,08 грн.</w:t>
      </w:r>
    </w:p>
    <w:p w:rsidR="00012658" w:rsidRDefault="00012658" w:rsidP="006F1A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розрізі </w:t>
      </w:r>
      <w:r w:rsidR="006F1A07">
        <w:rPr>
          <w:rFonts w:ascii="Times New Roman" w:hAnsi="Times New Roman"/>
          <w:sz w:val="28"/>
          <w:szCs w:val="28"/>
        </w:rPr>
        <w:t>закладів освіти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6F1A07">
        <w:rPr>
          <w:rFonts w:ascii="Times New Roman" w:hAnsi="Times New Roman"/>
          <w:sz w:val="28"/>
          <w:szCs w:val="28"/>
        </w:rPr>
        <w:t>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704"/>
        <w:gridCol w:w="1701"/>
        <w:gridCol w:w="1921"/>
        <w:gridCol w:w="1682"/>
        <w:gridCol w:w="1447"/>
      </w:tblGrid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1E5B6B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lastRenderedPageBreak/>
              <w:t>КЕКВ</w:t>
            </w:r>
          </w:p>
        </w:tc>
        <w:tc>
          <w:tcPr>
            <w:tcW w:w="1704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Степанківська ЗОШ І-ІІІ ст.</w:t>
            </w:r>
          </w:p>
        </w:tc>
        <w:tc>
          <w:tcPr>
            <w:tcW w:w="170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Хацьківська ЗОШ </w:t>
            </w:r>
          </w:p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І-ІІІ ст. </w:t>
            </w:r>
          </w:p>
        </w:tc>
        <w:tc>
          <w:tcPr>
            <w:tcW w:w="192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Головятинський ЗЗСО І-ІІ ст.</w:t>
            </w:r>
          </w:p>
        </w:tc>
        <w:tc>
          <w:tcPr>
            <w:tcW w:w="1682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Залевківський НВК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704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1479378,96</w:t>
            </w:r>
          </w:p>
        </w:tc>
        <w:tc>
          <w:tcPr>
            <w:tcW w:w="1701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1511194,69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808361,12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175186,30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3974121,07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4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324022,64</w:t>
            </w:r>
          </w:p>
        </w:tc>
        <w:tc>
          <w:tcPr>
            <w:tcW w:w="1701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313898,55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160161,81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33503,48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831586,48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6428,20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25620,48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34038,68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C5078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59410,00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65953,38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10053,62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7887,98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143304,98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20792,01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11673,95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35924,30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2183,95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70574,21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17116,38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16819,70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3093,26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37029,34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101232,36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84036,28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185268,64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704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9600,00</w:t>
            </w:r>
          </w:p>
        </w:tc>
        <w:tc>
          <w:tcPr>
            <w:tcW w:w="192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22788,00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23988,00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4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2026730,35</w:t>
            </w:r>
          </w:p>
        </w:tc>
        <w:tc>
          <w:tcPr>
            <w:tcW w:w="170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2026124,75</w:t>
            </w:r>
          </w:p>
        </w:tc>
        <w:tc>
          <w:tcPr>
            <w:tcW w:w="192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1043201,33</w:t>
            </w:r>
          </w:p>
        </w:tc>
        <w:tc>
          <w:tcPr>
            <w:tcW w:w="1682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221854,97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5317911,40</w:t>
            </w:r>
          </w:p>
        </w:tc>
      </w:tr>
    </w:tbl>
    <w:p w:rsidR="006C3B4B" w:rsidRDefault="006C3B4B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7B0FE4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На захищені видатки за звітний період спрямовано </w:t>
      </w:r>
      <w:r w:rsidR="006C3B4B">
        <w:rPr>
          <w:rFonts w:ascii="Times New Roman" w:hAnsi="Times New Roman"/>
          <w:sz w:val="28"/>
          <w:szCs w:val="28"/>
        </w:rPr>
        <w:t>5204898,51 грн</w:t>
      </w:r>
      <w:r w:rsidRPr="007B0FE4">
        <w:rPr>
          <w:rFonts w:ascii="Times New Roman" w:hAnsi="Times New Roman"/>
          <w:sz w:val="28"/>
          <w:szCs w:val="28"/>
        </w:rPr>
        <w:t>, що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6C3B4B">
        <w:rPr>
          <w:rFonts w:ascii="Times New Roman" w:hAnsi="Times New Roman"/>
          <w:sz w:val="28"/>
          <w:szCs w:val="28"/>
        </w:rPr>
        <w:t>98</w:t>
      </w:r>
      <w:r w:rsidRPr="007B0FE4">
        <w:rPr>
          <w:rFonts w:ascii="Times New Roman" w:hAnsi="Times New Roman"/>
          <w:sz w:val="28"/>
          <w:szCs w:val="28"/>
        </w:rPr>
        <w:t>% видатків за звітний період.</w:t>
      </w:r>
    </w:p>
    <w:p w:rsidR="005260BD" w:rsidRDefault="00BA49F6" w:rsidP="00CC032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026E4">
        <w:rPr>
          <w:sz w:val="28"/>
          <w:szCs w:val="28"/>
        </w:rPr>
        <w:t>З бюджету розвитку</w:t>
      </w:r>
      <w:r w:rsidR="00012658" w:rsidRPr="00C63660">
        <w:rPr>
          <w:sz w:val="28"/>
          <w:szCs w:val="28"/>
        </w:rPr>
        <w:t xml:space="preserve"> </w:t>
      </w:r>
      <w:r w:rsidR="005260BD">
        <w:rPr>
          <w:sz w:val="28"/>
          <w:szCs w:val="28"/>
        </w:rPr>
        <w:t xml:space="preserve">профінансовано </w:t>
      </w:r>
      <w:r w:rsidR="005F67F5">
        <w:rPr>
          <w:sz w:val="28"/>
          <w:szCs w:val="28"/>
        </w:rPr>
        <w:t>виготовлення про</w:t>
      </w:r>
      <w:r w:rsidR="006C3B4B">
        <w:rPr>
          <w:sz w:val="28"/>
          <w:szCs w:val="28"/>
        </w:rPr>
        <w:t xml:space="preserve">ектно-кошторисної документації </w:t>
      </w:r>
      <w:r w:rsidR="005F67F5">
        <w:rPr>
          <w:sz w:val="28"/>
          <w:szCs w:val="28"/>
        </w:rPr>
        <w:t xml:space="preserve">в сумі </w:t>
      </w:r>
      <w:r w:rsidR="006C3B4B">
        <w:rPr>
          <w:sz w:val="28"/>
          <w:szCs w:val="28"/>
        </w:rPr>
        <w:t>95687,58</w:t>
      </w:r>
      <w:r w:rsidR="005F67F5">
        <w:rPr>
          <w:sz w:val="28"/>
          <w:szCs w:val="28"/>
        </w:rPr>
        <w:t xml:space="preserve"> грн.</w:t>
      </w:r>
    </w:p>
    <w:p w:rsidR="00512F23" w:rsidRPr="00C63660" w:rsidRDefault="00512F23" w:rsidP="00512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</w:t>
      </w:r>
      <w:r w:rsidRPr="00C63660">
        <w:rPr>
          <w:rFonts w:ascii="Times New Roman" w:hAnsi="Times New Roman"/>
          <w:sz w:val="28"/>
          <w:szCs w:val="28"/>
        </w:rPr>
        <w:t>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147634,83грн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>
        <w:rPr>
          <w:rFonts w:ascii="Times New Roman" w:hAnsi="Times New Roman"/>
          <w:sz w:val="28"/>
          <w:szCs w:val="28"/>
        </w:rPr>
        <w:t>471863,00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>
        <w:rPr>
          <w:rFonts w:ascii="Times New Roman" w:hAnsi="Times New Roman"/>
          <w:sz w:val="28"/>
          <w:szCs w:val="28"/>
        </w:rPr>
        <w:t>31,3%,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117997,18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45%</w:t>
      </w:r>
      <w:r w:rsidRPr="00C63660">
        <w:rPr>
          <w:sz w:val="28"/>
          <w:szCs w:val="28"/>
        </w:rPr>
        <w:t>;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24575,28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43%</w:t>
      </w:r>
      <w:r w:rsidRPr="00C63660">
        <w:rPr>
          <w:sz w:val="28"/>
          <w:szCs w:val="28"/>
        </w:rPr>
        <w:t>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3100,00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6,2%;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оплату послуг – </w:t>
      </w:r>
      <w:r>
        <w:rPr>
          <w:sz w:val="28"/>
          <w:szCs w:val="28"/>
        </w:rPr>
        <w:t>1962,37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3,7%.</w:t>
      </w:r>
    </w:p>
    <w:p w:rsidR="00512F23" w:rsidRDefault="00512F23" w:rsidP="00512F23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 І квартал 2021 року здійсненні за кошти бюджету Степанківської сільської територіальної громади в сумі </w:t>
      </w:r>
      <w:r w:rsidR="00C4199C">
        <w:rPr>
          <w:sz w:val="28"/>
          <w:szCs w:val="28"/>
        </w:rPr>
        <w:t xml:space="preserve">144600,81 грн, за рахунок іншої субвенції бюджетів територіальних громад в сумі 3215,18 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 w:rsidR="005F67F5">
        <w:rPr>
          <w:sz w:val="28"/>
          <w:szCs w:val="28"/>
        </w:rPr>
        <w:t xml:space="preserve"> галу</w:t>
      </w:r>
      <w:r w:rsidR="006C3B4B">
        <w:rPr>
          <w:sz w:val="28"/>
          <w:szCs w:val="28"/>
        </w:rPr>
        <w:t>зі «Освіта» станом на 01.04.2021року відсутня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>
        <w:rPr>
          <w:b/>
          <w:sz w:val="28"/>
          <w:szCs w:val="28"/>
        </w:rPr>
        <w:t>Б 2</w:t>
      </w:r>
      <w:r w:rsidRPr="00C63660">
        <w:rPr>
          <w:b/>
          <w:sz w:val="28"/>
          <w:szCs w:val="28"/>
        </w:rPr>
        <w:t>000 «</w:t>
      </w:r>
      <w:r>
        <w:rPr>
          <w:b/>
          <w:sz w:val="28"/>
          <w:szCs w:val="28"/>
        </w:rPr>
        <w:t>Охорона здоров’я</w:t>
      </w:r>
      <w:r w:rsidRPr="00C63660">
        <w:rPr>
          <w:b/>
          <w:sz w:val="28"/>
          <w:szCs w:val="28"/>
        </w:rPr>
        <w:t>»</w:t>
      </w:r>
    </w:p>
    <w:p w:rsidR="00CF373D" w:rsidRPr="00C63660" w:rsidRDefault="00CF373D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охорони здоров’я  </w:t>
      </w:r>
      <w:r w:rsidRPr="00C63660">
        <w:rPr>
          <w:sz w:val="28"/>
          <w:szCs w:val="28"/>
        </w:rPr>
        <w:t>у бюд</w:t>
      </w:r>
      <w:r>
        <w:rPr>
          <w:sz w:val="28"/>
          <w:szCs w:val="28"/>
        </w:rPr>
        <w:t>жеті Степанківської</w:t>
      </w:r>
      <w:r w:rsidRPr="00C63660">
        <w:rPr>
          <w:sz w:val="28"/>
          <w:szCs w:val="28"/>
        </w:rPr>
        <w:t xml:space="preserve"> територіал</w:t>
      </w:r>
      <w:r>
        <w:rPr>
          <w:sz w:val="28"/>
          <w:szCs w:val="28"/>
        </w:rPr>
        <w:t>ьної громади на І квартал 2021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заплановані кошти в сумі 139531,00 грн</w:t>
      </w:r>
      <w:r w:rsidRPr="00C63660">
        <w:rPr>
          <w:sz w:val="28"/>
          <w:szCs w:val="28"/>
        </w:rPr>
        <w:t xml:space="preserve">, використано – </w:t>
      </w:r>
      <w:r>
        <w:rPr>
          <w:sz w:val="28"/>
          <w:szCs w:val="28"/>
        </w:rPr>
        <w:t>99915,87 грн</w:t>
      </w:r>
      <w:r w:rsidRPr="00C63660">
        <w:rPr>
          <w:sz w:val="28"/>
          <w:szCs w:val="28"/>
        </w:rPr>
        <w:t xml:space="preserve">, що становить </w:t>
      </w:r>
      <w:r>
        <w:rPr>
          <w:sz w:val="28"/>
          <w:szCs w:val="28"/>
        </w:rPr>
        <w:t>72% до уточнених призначень.</w:t>
      </w:r>
    </w:p>
    <w:p w:rsidR="009C45CB" w:rsidRDefault="00CF373D" w:rsidP="009C45CB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9C45CB">
        <w:rPr>
          <w:sz w:val="28"/>
          <w:szCs w:val="28"/>
          <w:lang w:val="uk-UA"/>
        </w:rPr>
        <w:t xml:space="preserve"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99531,00 грн, проведено видатки в сумі 60123,42 грн на </w:t>
      </w:r>
      <w:r w:rsidR="0053605F" w:rsidRPr="009C45CB">
        <w:rPr>
          <w:sz w:val="28"/>
          <w:szCs w:val="28"/>
          <w:lang w:val="uk-UA"/>
        </w:rPr>
        <w:t xml:space="preserve">лікування хворих на цукровий діабет  інсуліном </w:t>
      </w:r>
      <w:r w:rsidR="0053605F" w:rsidRPr="009C45CB">
        <w:rPr>
          <w:sz w:val="28"/>
          <w:szCs w:val="28"/>
          <w:lang w:val="uk-UA"/>
        </w:rPr>
        <w:lastRenderedPageBreak/>
        <w:t>та нецукровий діабет десмопресином</w:t>
      </w:r>
      <w:r w:rsidR="009C45CB" w:rsidRPr="009C45CB">
        <w:rPr>
          <w:sz w:val="28"/>
          <w:szCs w:val="28"/>
          <w:lang w:val="uk-UA"/>
        </w:rPr>
        <w:t xml:space="preserve">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</w:t>
      </w:r>
      <w:r w:rsidR="009C45CB">
        <w:rPr>
          <w:sz w:val="28"/>
          <w:szCs w:val="28"/>
          <w:lang w:val="uk-UA"/>
        </w:rPr>
        <w:t xml:space="preserve">фінансування </w:t>
      </w:r>
      <w:r w:rsidR="009C45CB" w:rsidRPr="009C45CB">
        <w:rPr>
          <w:sz w:val="28"/>
          <w:szCs w:val="28"/>
          <w:lang w:val="uk-UA"/>
        </w:rPr>
        <w:t>догово</w:t>
      </w:r>
      <w:r w:rsidR="009C45CB">
        <w:rPr>
          <w:sz w:val="28"/>
          <w:szCs w:val="28"/>
          <w:lang w:val="uk-UA"/>
        </w:rPr>
        <w:t>рів на відшкодування з аптеками.</w:t>
      </w:r>
    </w:p>
    <w:p w:rsidR="009C45CB" w:rsidRPr="009C45CB" w:rsidRDefault="009C45CB" w:rsidP="009C45CB">
      <w:pPr>
        <w:pStyle w:val="a3"/>
        <w:ind w:left="0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C45CB">
        <w:rPr>
          <w:sz w:val="28"/>
          <w:szCs w:val="28"/>
          <w:lang w:val="uk-UA"/>
        </w:rPr>
        <w:t xml:space="preserve">а відшкодування лікарських засобів за рецептами лікарів на пільговій основі жителям Степанківської сільської територіальної громади </w:t>
      </w:r>
      <w:r>
        <w:rPr>
          <w:sz w:val="28"/>
          <w:szCs w:val="28"/>
          <w:lang w:val="uk-UA"/>
        </w:rPr>
        <w:t>за І квартал 2021 року профінансовано 39792,45 грн</w:t>
      </w:r>
      <w:r w:rsidRPr="009C45CB">
        <w:rPr>
          <w:sz w:val="28"/>
          <w:szCs w:val="28"/>
          <w:lang w:val="uk-UA"/>
        </w:rPr>
        <w:t xml:space="preserve"> шляхом </w:t>
      </w:r>
      <w:r>
        <w:rPr>
          <w:sz w:val="28"/>
          <w:szCs w:val="28"/>
          <w:lang w:val="uk-UA"/>
        </w:rPr>
        <w:t>фінансування</w:t>
      </w:r>
      <w:r w:rsidRPr="009C45CB">
        <w:rPr>
          <w:sz w:val="28"/>
          <w:szCs w:val="28"/>
          <w:lang w:val="uk-UA"/>
        </w:rPr>
        <w:t xml:space="preserve"> договорів на відшкодування з аптеками</w:t>
      </w:r>
      <w:r>
        <w:rPr>
          <w:sz w:val="28"/>
          <w:szCs w:val="28"/>
          <w:lang w:val="uk-UA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CF373D" w:rsidRPr="0050572B" w:rsidTr="00CF373D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-</w:t>
            </w: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CF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CF373D" w:rsidRPr="0050572B" w:rsidTr="00CF373D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І квартал 2021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 І квартал 2021 року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0572B" w:rsidRPr="0050572B" w:rsidTr="00CF373D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345476,00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99915,87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30470,57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71,61 %</w:t>
            </w:r>
          </w:p>
        </w:tc>
      </w:tr>
      <w:tr w:rsidR="0050572B" w:rsidRPr="0050572B" w:rsidTr="00CF373D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99,48 %</w:t>
            </w:r>
          </w:p>
        </w:tc>
      </w:tr>
      <w:tr w:rsidR="0050572B" w:rsidRPr="0050572B" w:rsidTr="00CF373D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99,48 %</w:t>
            </w:r>
          </w:p>
        </w:tc>
      </w:tr>
    </w:tbl>
    <w:p w:rsidR="0050572B" w:rsidRDefault="0050572B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 w:rsidRPr="00C63660">
        <w:rPr>
          <w:b/>
          <w:sz w:val="28"/>
          <w:szCs w:val="28"/>
        </w:rPr>
        <w:t>Б 3000 «Соціальний захист та соціальне забезпечення»</w:t>
      </w:r>
    </w:p>
    <w:p w:rsidR="00230CDD" w:rsidRPr="00C63660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6F1A07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F1A07">
        <w:rPr>
          <w:sz w:val="28"/>
          <w:szCs w:val="28"/>
        </w:rPr>
        <w:t xml:space="preserve">На </w:t>
      </w:r>
      <w:r w:rsidR="00A1358B">
        <w:rPr>
          <w:sz w:val="28"/>
          <w:szCs w:val="28"/>
        </w:rPr>
        <w:t>фінансування</w:t>
      </w:r>
      <w:r w:rsidRPr="006F1A07">
        <w:rPr>
          <w:sz w:val="28"/>
          <w:szCs w:val="28"/>
        </w:rPr>
        <w:t xml:space="preserve"> соціального захисту і соціального забезпечення</w:t>
      </w:r>
      <w:r w:rsidR="00A1358B">
        <w:rPr>
          <w:sz w:val="28"/>
          <w:szCs w:val="28"/>
        </w:rPr>
        <w:t xml:space="preserve"> </w:t>
      </w:r>
      <w:r w:rsidR="00A1358B" w:rsidRPr="00C63660">
        <w:rPr>
          <w:sz w:val="28"/>
          <w:szCs w:val="28"/>
        </w:rPr>
        <w:t>у бюд</w:t>
      </w:r>
      <w:r w:rsidR="00A1358B">
        <w:rPr>
          <w:sz w:val="28"/>
          <w:szCs w:val="28"/>
        </w:rPr>
        <w:t>жеті Степанківської</w:t>
      </w:r>
      <w:r w:rsidR="00A1358B" w:rsidRPr="00C63660">
        <w:rPr>
          <w:sz w:val="28"/>
          <w:szCs w:val="28"/>
        </w:rPr>
        <w:t xml:space="preserve"> територіал</w:t>
      </w:r>
      <w:r w:rsidR="00A1358B">
        <w:rPr>
          <w:sz w:val="28"/>
          <w:szCs w:val="28"/>
        </w:rPr>
        <w:t>ьної громади на І квартал 2021 року</w:t>
      </w:r>
      <w:r w:rsidR="00A1358B" w:rsidRPr="00C63660">
        <w:rPr>
          <w:sz w:val="28"/>
          <w:szCs w:val="28"/>
        </w:rPr>
        <w:t xml:space="preserve"> </w:t>
      </w:r>
      <w:r w:rsidR="00A1358B">
        <w:rPr>
          <w:sz w:val="28"/>
          <w:szCs w:val="28"/>
        </w:rPr>
        <w:t>заплановані кошти в сумі 408978,00 грн</w:t>
      </w:r>
      <w:r w:rsidR="00A1358B" w:rsidRPr="00C63660">
        <w:rPr>
          <w:sz w:val="28"/>
          <w:szCs w:val="28"/>
        </w:rPr>
        <w:t xml:space="preserve">, використано – </w:t>
      </w:r>
      <w:r w:rsidR="00A1358B">
        <w:rPr>
          <w:sz w:val="28"/>
          <w:szCs w:val="28"/>
        </w:rPr>
        <w:t>302211,81 грн</w:t>
      </w:r>
      <w:r w:rsidR="00A1358B" w:rsidRPr="00C63660">
        <w:rPr>
          <w:sz w:val="28"/>
          <w:szCs w:val="28"/>
        </w:rPr>
        <w:t xml:space="preserve">, що становить </w:t>
      </w:r>
      <w:r w:rsidR="00A1358B">
        <w:rPr>
          <w:sz w:val="28"/>
          <w:szCs w:val="28"/>
        </w:rPr>
        <w:t xml:space="preserve">74% до уточнених призначень. </w:t>
      </w:r>
    </w:p>
    <w:p w:rsidR="00A1358B" w:rsidRDefault="00A1358B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1358B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</w:t>
      </w:r>
      <w:r w:rsidRPr="00A1358B">
        <w:rPr>
          <w:sz w:val="28"/>
          <w:szCs w:val="28"/>
        </w:rPr>
        <w:t xml:space="preserve"> Центру надання соціальних послуг Степанківської сільської ради</w:t>
      </w:r>
      <w:r>
        <w:rPr>
          <w:sz w:val="28"/>
          <w:szCs w:val="28"/>
        </w:rPr>
        <w:t xml:space="preserve"> заплановані видатки в сумі 221108,00 грн, профінансовано – 199438,</w:t>
      </w:r>
      <w:r w:rsidR="00230CDD">
        <w:rPr>
          <w:sz w:val="28"/>
          <w:szCs w:val="28"/>
        </w:rPr>
        <w:t xml:space="preserve">48 грн, </w:t>
      </w:r>
      <w:r w:rsidR="00230CDD" w:rsidRPr="00C63660">
        <w:rPr>
          <w:sz w:val="28"/>
          <w:szCs w:val="28"/>
        </w:rPr>
        <w:t xml:space="preserve">що становить </w:t>
      </w:r>
      <w:r w:rsidR="00230CDD">
        <w:rPr>
          <w:sz w:val="28"/>
          <w:szCs w:val="28"/>
        </w:rPr>
        <w:t>90% до уточнених призначень.</w:t>
      </w:r>
    </w:p>
    <w:p w:rsidR="00C5078E" w:rsidRDefault="00C5078E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342D72" w:rsidRDefault="00342D72" w:rsidP="00A135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342D72" w:rsidRPr="00A1358B" w:rsidTr="00A1358B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 асигнувань до кінця періоду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342D72" w:rsidRPr="00A1358B" w:rsidTr="00A1358B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 І квартал 2021 року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42D72" w:rsidRPr="00A1358B" w:rsidTr="00A1358B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408978,00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302211,81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106656,15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73,89 %</w:t>
            </w:r>
          </w:p>
        </w:tc>
      </w:tr>
      <w:tr w:rsidR="00342D72" w:rsidRPr="00A1358B" w:rsidTr="00A1358B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841,56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5498,44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13,27 %</w:t>
            </w:r>
          </w:p>
        </w:tc>
      </w:tr>
      <w:tr w:rsidR="00342D72" w:rsidRPr="00A1358B" w:rsidTr="00A1358B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10341,00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3091,78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7249,22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29,90 %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342D72" w:rsidRPr="00A1358B" w:rsidTr="00A1358B">
        <w:trPr>
          <w:trHeight w:val="13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33210,00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22012,10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11088,06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66,28 %</w:t>
            </w:r>
          </w:p>
        </w:tc>
      </w:tr>
      <w:tr w:rsidR="00342D72" w:rsidRPr="00A1358B" w:rsidTr="00A1358B">
        <w:trPr>
          <w:trHeight w:val="9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221108,00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199438,48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21669,32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90,20 %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171400,00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160033,30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11366,70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93,37 %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37708,00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35120,18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2587,62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93,14 %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82,22 %</w:t>
            </w:r>
          </w:p>
        </w:tc>
      </w:tr>
    </w:tbl>
    <w:p w:rsidR="00342D72" w:rsidRPr="00A1358B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B57E23" w:rsidRPr="00C63660" w:rsidRDefault="00012658" w:rsidP="00B57E23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lastRenderedPageBreak/>
        <w:t>КПКВКМБ 4000 «Культура і мистецтво»</w:t>
      </w:r>
    </w:p>
    <w:p w:rsidR="00B1470F" w:rsidRPr="00B1470F" w:rsidRDefault="00012658" w:rsidP="00B1470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По галузі «Культура» видатки за звітний період використані в сумі</w:t>
      </w:r>
      <w:r w:rsidR="0046435B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568708,34грн</w:t>
      </w:r>
      <w:r w:rsidRPr="00C63660">
        <w:rPr>
          <w:sz w:val="28"/>
          <w:szCs w:val="28"/>
        </w:rPr>
        <w:t xml:space="preserve"> при уточненому плані </w:t>
      </w:r>
      <w:r w:rsidR="006B1106">
        <w:rPr>
          <w:sz w:val="28"/>
          <w:szCs w:val="28"/>
        </w:rPr>
        <w:t>1096723,0</w:t>
      </w:r>
      <w:r w:rsidR="00B1470F">
        <w:rPr>
          <w:sz w:val="28"/>
          <w:szCs w:val="28"/>
        </w:rPr>
        <w:t>0</w:t>
      </w:r>
      <w:r w:rsidR="006B1106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що становить </w:t>
      </w:r>
      <w:r w:rsidR="006B1106">
        <w:rPr>
          <w:sz w:val="28"/>
          <w:szCs w:val="28"/>
        </w:rPr>
        <w:t>52</w:t>
      </w:r>
      <w:r w:rsidR="00B1470F">
        <w:rPr>
          <w:sz w:val="28"/>
          <w:szCs w:val="28"/>
        </w:rPr>
        <w:t>%.</w:t>
      </w:r>
      <w:r w:rsidRPr="00C63660">
        <w:rPr>
          <w:sz w:val="28"/>
          <w:szCs w:val="28"/>
        </w:rPr>
        <w:t xml:space="preserve"> За </w:t>
      </w:r>
      <w:r w:rsidR="006B1106">
        <w:rPr>
          <w:sz w:val="28"/>
          <w:szCs w:val="28"/>
        </w:rPr>
        <w:t>рахунок цих коштів утримується 5 установ</w:t>
      </w:r>
      <w:r w:rsidRPr="00C63660">
        <w:rPr>
          <w:sz w:val="28"/>
          <w:szCs w:val="28"/>
        </w:rPr>
        <w:t xml:space="preserve">. </w:t>
      </w:r>
      <w:r w:rsidR="00B1470F" w:rsidRPr="00B1470F">
        <w:rPr>
          <w:sz w:val="28"/>
          <w:szCs w:val="28"/>
        </w:rPr>
        <w:t>Фактична чисельність працівників станом на 01.</w:t>
      </w:r>
      <w:r w:rsidR="00B1470F">
        <w:rPr>
          <w:sz w:val="28"/>
          <w:szCs w:val="28"/>
        </w:rPr>
        <w:t>04</w:t>
      </w:r>
      <w:r w:rsidR="00B1470F" w:rsidRPr="00B1470F">
        <w:rPr>
          <w:sz w:val="28"/>
          <w:szCs w:val="28"/>
        </w:rPr>
        <w:t>.202</w:t>
      </w:r>
      <w:r w:rsidR="006B1106">
        <w:rPr>
          <w:sz w:val="28"/>
          <w:szCs w:val="28"/>
        </w:rPr>
        <w:t>1</w:t>
      </w:r>
      <w:r w:rsidR="00B1470F" w:rsidRPr="00B1470F">
        <w:rPr>
          <w:sz w:val="28"/>
          <w:szCs w:val="28"/>
        </w:rPr>
        <w:t xml:space="preserve"> року становить </w:t>
      </w:r>
      <w:r w:rsidR="006B1106">
        <w:rPr>
          <w:sz w:val="28"/>
          <w:szCs w:val="28"/>
        </w:rPr>
        <w:t>17</w:t>
      </w:r>
      <w:r w:rsidR="00B1470F" w:rsidRPr="00B1470F">
        <w:rPr>
          <w:sz w:val="28"/>
          <w:szCs w:val="28"/>
        </w:rPr>
        <w:t xml:space="preserve"> од., при штатній чисельності – </w:t>
      </w:r>
      <w:r w:rsidR="006B1106">
        <w:rPr>
          <w:sz w:val="28"/>
          <w:szCs w:val="28"/>
        </w:rPr>
        <w:t>20</w:t>
      </w:r>
      <w:r w:rsidR="00B1470F" w:rsidRPr="00B1470F">
        <w:rPr>
          <w:sz w:val="28"/>
          <w:szCs w:val="28"/>
        </w:rPr>
        <w:t xml:space="preserve"> од.</w:t>
      </w: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КЗ «Степанківська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 публічна бібліотека»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ов’ятинська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бузуківська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</w:t>
      </w:r>
      <w:r w:rsidR="00B1470F">
        <w:rPr>
          <w:sz w:val="28"/>
          <w:szCs w:val="28"/>
        </w:rPr>
        <w:t>І квартал</w:t>
      </w:r>
      <w:r w:rsidR="007962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110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115348,98 грн</w:t>
      </w:r>
      <w:r w:rsidRPr="00C63660">
        <w:rPr>
          <w:sz w:val="28"/>
          <w:szCs w:val="28"/>
        </w:rPr>
        <w:t xml:space="preserve">, виконання становить </w:t>
      </w:r>
      <w:r w:rsidR="006B1106">
        <w:rPr>
          <w:sz w:val="28"/>
          <w:szCs w:val="28"/>
        </w:rPr>
        <w:t>53</w:t>
      </w:r>
      <w:r w:rsidR="00A8146C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при уточненому плані</w:t>
      </w:r>
      <w:r w:rsidR="00A8146C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218548,00грн</w:t>
      </w:r>
      <w:r w:rsidRPr="00C63660">
        <w:rPr>
          <w:sz w:val="28"/>
          <w:szCs w:val="28"/>
        </w:rPr>
        <w:t>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6B1106" w:rsidRPr="008F3E45" w:rsidTr="006B1106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8F3E45" w:rsidRPr="008F3E45" w:rsidTr="006B110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125904,00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91570,25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29333,75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72,73 %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27699,00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21370,69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5228,31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77,15 %</w:t>
            </w:r>
          </w:p>
        </w:tc>
      </w:tr>
      <w:tr w:rsidR="006B1106" w:rsidRPr="008F3E45" w:rsidTr="006B1106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2408,04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5578,85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19,07 %</w:t>
            </w:r>
          </w:p>
        </w:tc>
      </w:tr>
    </w:tbl>
    <w:p w:rsidR="00B57E23" w:rsidRPr="00C63660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Хацьки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FC465C" w:rsidRPr="00FC465C" w:rsidRDefault="00FC465C" w:rsidP="00FC465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сільський клуб.</w:t>
      </w:r>
    </w:p>
    <w:p w:rsidR="00FC465C" w:rsidRDefault="00012658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будинків культури</w:t>
      </w:r>
      <w:r w:rsidR="00FC465C">
        <w:rPr>
          <w:sz w:val="28"/>
          <w:szCs w:val="28"/>
        </w:rPr>
        <w:t>, сільських клубів</w:t>
      </w:r>
      <w:r w:rsidRPr="00C63660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 xml:space="preserve">за </w:t>
      </w:r>
      <w:r w:rsidR="000D7EF3">
        <w:rPr>
          <w:sz w:val="28"/>
          <w:szCs w:val="28"/>
        </w:rPr>
        <w:t>І квартал 202</w:t>
      </w:r>
      <w:r w:rsidR="006B1106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453359,36 грн</w:t>
      </w:r>
      <w:r w:rsidRPr="00C63660">
        <w:rPr>
          <w:sz w:val="28"/>
          <w:szCs w:val="28"/>
        </w:rPr>
        <w:t>,</w:t>
      </w:r>
      <w:r w:rsidRPr="00C63660">
        <w:rPr>
          <w:b/>
          <w:sz w:val="28"/>
          <w:szCs w:val="28"/>
        </w:rPr>
        <w:t xml:space="preserve"> </w:t>
      </w:r>
      <w:r w:rsidR="006B1106" w:rsidRPr="00C63660">
        <w:rPr>
          <w:sz w:val="28"/>
          <w:szCs w:val="28"/>
        </w:rPr>
        <w:t xml:space="preserve">при уточненому плані </w:t>
      </w:r>
      <w:r w:rsidR="006B1106">
        <w:rPr>
          <w:sz w:val="28"/>
          <w:szCs w:val="28"/>
        </w:rPr>
        <w:t xml:space="preserve">878175,00 грн, </w:t>
      </w:r>
      <w:r w:rsidR="006B1106"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6B1106">
        <w:rPr>
          <w:sz w:val="28"/>
          <w:szCs w:val="28"/>
        </w:rPr>
        <w:t>52</w:t>
      </w:r>
      <w:r w:rsidR="000D7EF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 w:rsidR="006B1106"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6B1106" w:rsidRPr="008F3E45" w:rsidTr="006B1106">
        <w:trPr>
          <w:trHeight w:val="28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Код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-</w:t>
            </w: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вано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6B1106" w:rsidRPr="008F3E45" w:rsidTr="006B1106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1491875,00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397238,00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290760,31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106477,69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73,20 %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328212,00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87392,00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63506,29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23885,71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72,67 %</w:t>
            </w:r>
          </w:p>
        </w:tc>
      </w:tr>
      <w:tr w:rsidR="006B1106" w:rsidRPr="008F3E45" w:rsidTr="006B1106">
        <w:trPr>
          <w:trHeight w:val="402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36150,00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2349,00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33801,00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6,50 %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6B1106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послуг (крім </w:t>
            </w:r>
            <w:r w:rsidR="008F3E45"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95980,00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46195,00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7406,02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37298,98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16,03 %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182757,00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50491,38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132140,13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27,63 %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127943,00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38346,36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89596,64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29,97 %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закладів кул</w:t>
      </w:r>
      <w:r w:rsidR="000D7EF3">
        <w:rPr>
          <w:rFonts w:ascii="Times New Roman" w:hAnsi="Times New Roman"/>
          <w:sz w:val="28"/>
          <w:szCs w:val="28"/>
        </w:rPr>
        <w:t>ьтури проведені видатки по КЕКВ, грн.</w:t>
      </w:r>
    </w:p>
    <w:tbl>
      <w:tblPr>
        <w:tblStyle w:val="a8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1406"/>
        <w:gridCol w:w="1290"/>
        <w:gridCol w:w="1487"/>
        <w:gridCol w:w="1669"/>
        <w:gridCol w:w="1559"/>
        <w:gridCol w:w="1236"/>
      </w:tblGrid>
      <w:tr w:rsidR="00FC465C" w:rsidTr="00FC465C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136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с.Степанки</w:t>
            </w:r>
          </w:p>
        </w:tc>
        <w:tc>
          <w:tcPr>
            <w:tcW w:w="133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Хацьки</w:t>
            </w:r>
          </w:p>
        </w:tc>
        <w:tc>
          <w:tcPr>
            <w:tcW w:w="1487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Голов’ятине</w:t>
            </w:r>
          </w:p>
        </w:tc>
        <w:tc>
          <w:tcPr>
            <w:tcW w:w="166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Залевківський сільський клуб</w:t>
            </w:r>
          </w:p>
        </w:tc>
        <w:tc>
          <w:tcPr>
            <w:tcW w:w="155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Мало-бузуківський сільський клуб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112488,90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89285,47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44894,85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17443,00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26648,09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290760,31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23620,81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18741,00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10784,44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4497,46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5862,58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63506,29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789,00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3649,54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1813,74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1276,00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333,12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333,02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7406,02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43340,74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1344,24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4066,65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818,88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920,87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50491,38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38346,36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38346,36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D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36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184659,99</w:t>
            </w:r>
          </w:p>
        </w:tc>
        <w:tc>
          <w:tcPr>
            <w:tcW w:w="133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150819,81</w:t>
            </w:r>
          </w:p>
        </w:tc>
        <w:tc>
          <w:tcPr>
            <w:tcW w:w="1487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61022,54</w:t>
            </w:r>
          </w:p>
        </w:tc>
        <w:tc>
          <w:tcPr>
            <w:tcW w:w="166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23092,46</w:t>
            </w:r>
          </w:p>
        </w:tc>
        <w:tc>
          <w:tcPr>
            <w:tcW w:w="155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33764,56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453359,36</w:t>
            </w:r>
          </w:p>
        </w:tc>
      </w:tr>
    </w:tbl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B1106" w:rsidRPr="00C63660" w:rsidRDefault="006B1106" w:rsidP="006B110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5</w:t>
      </w:r>
      <w:r w:rsidRPr="00E9052B">
        <w:rPr>
          <w:b/>
          <w:sz w:val="28"/>
          <w:szCs w:val="28"/>
        </w:rPr>
        <w:t>000 «</w:t>
      </w:r>
      <w:r w:rsidR="00FC465C">
        <w:rPr>
          <w:b/>
          <w:sz w:val="28"/>
          <w:szCs w:val="28"/>
        </w:rPr>
        <w:t>Фізична культура і спорт</w:t>
      </w:r>
      <w:r w:rsidRPr="00E9052B">
        <w:rPr>
          <w:b/>
          <w:sz w:val="28"/>
          <w:szCs w:val="28"/>
        </w:rPr>
        <w:t>»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C465C">
        <w:rPr>
          <w:sz w:val="28"/>
        </w:rPr>
        <w:t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</w:t>
      </w:r>
      <w:r w:rsidR="00E87CCE">
        <w:rPr>
          <w:sz w:val="28"/>
        </w:rPr>
        <w:t xml:space="preserve"> 39000</w:t>
      </w:r>
      <w:r>
        <w:rPr>
          <w:sz w:val="28"/>
        </w:rPr>
        <w:t>,00грн</w:t>
      </w:r>
      <w:r w:rsidR="00E87CCE">
        <w:rPr>
          <w:sz w:val="28"/>
        </w:rPr>
        <w:t xml:space="preserve"> на І квартал 2021 року</w:t>
      </w:r>
      <w:r>
        <w:rPr>
          <w:sz w:val="28"/>
        </w:rPr>
        <w:t xml:space="preserve">, </w:t>
      </w:r>
      <w:r w:rsidR="00E87CCE">
        <w:rPr>
          <w:sz w:val="28"/>
          <w:szCs w:val="28"/>
        </w:rPr>
        <w:t>профінансовано</w:t>
      </w:r>
      <w:r w:rsidRPr="00C63660">
        <w:rPr>
          <w:sz w:val="28"/>
          <w:szCs w:val="28"/>
        </w:rPr>
        <w:t xml:space="preserve"> </w:t>
      </w:r>
      <w:r w:rsidR="00E87CCE">
        <w:rPr>
          <w:sz w:val="28"/>
          <w:szCs w:val="28"/>
        </w:rPr>
        <w:t>7</w:t>
      </w:r>
      <w:r>
        <w:rPr>
          <w:sz w:val="28"/>
          <w:szCs w:val="28"/>
        </w:rPr>
        <w:t xml:space="preserve">000,00 грн, </w:t>
      </w:r>
      <w:r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E87CCE">
        <w:rPr>
          <w:sz w:val="28"/>
          <w:szCs w:val="28"/>
        </w:rPr>
        <w:t>18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E87CCE" w:rsidRPr="00E87CCE" w:rsidTr="00CF103B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</w:t>
            </w:r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шки асигнувань до кінця періоду</w:t>
            </w: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E87CCE" w:rsidRPr="00E87CCE" w:rsidTr="00CF103B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 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128973,00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77,78 %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0371">
        <w:rPr>
          <w:b/>
          <w:sz w:val="28"/>
          <w:szCs w:val="28"/>
        </w:rPr>
        <w:lastRenderedPageBreak/>
        <w:t>КПКВКМБ 6000 «Житлово-комунальне господарство»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Для виконання робіт благоустрою населених пунктів за звітний період використані кошти в сумі 369 637,02 грн при уточненому плані 655 832,00 грн, що становить 56,4%.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Серед напрямків фінансування  оплата праці та нарахування робітників робочої групи з благоустрою зокрема: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     - на заробітну плату – 136 760,51 грн, виконання 90%;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150371">
        <w:rPr>
          <w:sz w:val="28"/>
          <w:szCs w:val="28"/>
        </w:rPr>
        <w:t>- нарахування на оплату праці – 28 450,54 грн, виконання 85,2%;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На придбання бензопили, запчастин, господарчих товарів, інструментів, мастильних матеріалів, бензину використано кошти в сумі 20456,36 грн, виконання 38,2%;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Отримано послуги з  прибирання снігу, ремонту мережі</w:t>
      </w:r>
      <w:r w:rsidRPr="00150371">
        <w:rPr>
          <w:bCs/>
          <w:sz w:val="28"/>
          <w:szCs w:val="28"/>
          <w:shd w:val="clear" w:color="auto" w:fill="FFFFFF"/>
        </w:rPr>
        <w:t xml:space="preserve"> </w:t>
      </w:r>
      <w:r w:rsidRPr="00150371">
        <w:rPr>
          <w:sz w:val="28"/>
          <w:szCs w:val="28"/>
        </w:rPr>
        <w:t>вуличного освітлення в сумі 105 149,00грн, виконання 48,3%.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На оплату електроенергії (вуличного освітлення) – 78 820,61 грн, виконання 39,5%.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На утримання об’єктів соціальної сфери підприємств, що передаються до комунальної власності  використано – 18 427,37 грн, в тому числі: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послуг (крім комунальних) – 1 310,00 грн, виконання 7,5%;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електроенергії – 2092,04 грн, виконання 1,3%;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природного газу – 14 148,39 грн, виконання 17,8%;</w:t>
      </w:r>
    </w:p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8000 «Інша діяльність»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  <w:r w:rsidRPr="00150371">
        <w:rPr>
          <w:sz w:val="28"/>
          <w:szCs w:val="28"/>
        </w:rPr>
        <w:t xml:space="preserve">КПКВКМБ </w:t>
      </w:r>
      <w:r>
        <w:rPr>
          <w:sz w:val="28"/>
          <w:szCs w:val="28"/>
        </w:rPr>
        <w:t>021</w:t>
      </w:r>
      <w:r w:rsidRPr="00150371">
        <w:rPr>
          <w:sz w:val="28"/>
          <w:szCs w:val="28"/>
        </w:rPr>
        <w:t>81</w:t>
      </w:r>
      <w:r>
        <w:rPr>
          <w:sz w:val="28"/>
          <w:szCs w:val="28"/>
        </w:rPr>
        <w:t>30</w:t>
      </w:r>
      <w:r w:rsidRPr="00150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Забезпечення діяльності місцевої пожежної </w:t>
      </w:r>
      <w:r w:rsidRPr="00150371">
        <w:rPr>
          <w:sz w:val="28"/>
          <w:szCs w:val="28"/>
        </w:rPr>
        <w:t>охорони»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За І квартал 202</w:t>
      </w:r>
      <w:r>
        <w:rPr>
          <w:sz w:val="28"/>
          <w:szCs w:val="28"/>
        </w:rPr>
        <w:t>1</w:t>
      </w:r>
      <w:r w:rsidRPr="00150371">
        <w:rPr>
          <w:sz w:val="28"/>
          <w:szCs w:val="28"/>
        </w:rPr>
        <w:t xml:space="preserve"> року на утримання Місцевої пожежної охорони фактично проведенні  видатки в сумі </w:t>
      </w:r>
      <w:r w:rsidRPr="00150371">
        <w:rPr>
          <w:sz w:val="28"/>
          <w:szCs w:val="28"/>
          <w:lang w:val="ru-RU"/>
        </w:rPr>
        <w:t>430 294,21</w:t>
      </w:r>
      <w:r w:rsidRPr="00150371">
        <w:rPr>
          <w:sz w:val="28"/>
          <w:szCs w:val="28"/>
        </w:rPr>
        <w:t xml:space="preserve"> грн, виконання плану становить 6</w:t>
      </w:r>
      <w:r w:rsidRPr="00150371">
        <w:rPr>
          <w:sz w:val="28"/>
          <w:szCs w:val="28"/>
          <w:lang w:val="ru-RU"/>
        </w:rPr>
        <w:t>8,2</w:t>
      </w:r>
      <w:r w:rsidRPr="00150371">
        <w:rPr>
          <w:sz w:val="28"/>
          <w:szCs w:val="28"/>
        </w:rPr>
        <w:t xml:space="preserve">% до призначень на період з урахуванням змін, а саме: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праці – </w:t>
      </w:r>
      <w:r w:rsidRPr="00150371">
        <w:rPr>
          <w:sz w:val="28"/>
          <w:szCs w:val="28"/>
          <w:lang w:val="ru-RU"/>
        </w:rPr>
        <w:t>338 165,44</w:t>
      </w:r>
      <w:r w:rsidRPr="00150371">
        <w:rPr>
          <w:sz w:val="28"/>
          <w:szCs w:val="28"/>
        </w:rPr>
        <w:t xml:space="preserve"> грн, нарахування – </w:t>
      </w:r>
      <w:r w:rsidRPr="00150371">
        <w:rPr>
          <w:sz w:val="28"/>
          <w:szCs w:val="28"/>
          <w:lang w:val="ru-RU"/>
        </w:rPr>
        <w:t>75 116,83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81,3</w:t>
      </w:r>
      <w:r w:rsidRPr="00150371">
        <w:rPr>
          <w:sz w:val="28"/>
          <w:szCs w:val="28"/>
        </w:rPr>
        <w:t>%. Фактична чисельність працівників становить 14 од. при плановій чисельності 14 од.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придбання предметів, матеріалів, обладнання та інвентарю (дизельне паливо, оливу індустріальну, фільтр масляний, запчастини) – </w:t>
      </w:r>
      <w:r w:rsidRPr="00150371">
        <w:rPr>
          <w:sz w:val="28"/>
          <w:szCs w:val="28"/>
          <w:lang w:val="ru-RU"/>
        </w:rPr>
        <w:t>16305,94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18,8</w:t>
      </w:r>
      <w:r w:rsidRPr="00150371">
        <w:rPr>
          <w:sz w:val="28"/>
          <w:szCs w:val="28"/>
        </w:rPr>
        <w:t>%;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150371" w:rsidRPr="00150371" w:rsidTr="00150371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14700,00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Дизельне паливо</w:t>
            </w:r>
          </w:p>
        </w:tc>
      </w:tr>
      <w:tr w:rsidR="00150371" w:rsidRPr="00150371" w:rsidTr="00150371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1377,84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Олива </w:t>
            </w:r>
            <w:r w:rsidRPr="00150371">
              <w:rPr>
                <w:sz w:val="28"/>
                <w:szCs w:val="28"/>
              </w:rPr>
              <w:t>індустріальна</w:t>
            </w:r>
          </w:p>
        </w:tc>
      </w:tr>
      <w:tr w:rsidR="00150371" w:rsidRPr="00150371" w:rsidTr="00150371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Фільтр </w:t>
            </w:r>
          </w:p>
        </w:tc>
      </w:tr>
      <w:tr w:rsidR="00150371" w:rsidRPr="00150371" w:rsidTr="00150371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138,00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Запчастини 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послуг (крім комунальних), зокрема послуг по обов’язковому страхуванню цивільно-правової відповідальності трактор Беларус – 706,00 грн, виконання 3,7 %;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150371" w:rsidRPr="00150371" w:rsidTr="00150371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</w:tbl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lastRenderedPageBreak/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</w:t>
      </w:r>
      <w:r>
        <w:rPr>
          <w:rFonts w:ascii="Times New Roman" w:hAnsi="Times New Roman"/>
          <w:sz w:val="28"/>
          <w:szCs w:val="28"/>
        </w:rPr>
        <w:t>480</w:t>
      </w:r>
      <w:r w:rsidRPr="00150371">
        <w:rPr>
          <w:rFonts w:ascii="Times New Roman" w:hAnsi="Times New Roman"/>
          <w:sz w:val="28"/>
          <w:szCs w:val="28"/>
        </w:rPr>
        <w:t xml:space="preserve"> 000,00 грн.  </w:t>
      </w:r>
    </w:p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За  І квартал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200 000,00 грн.</w:t>
      </w:r>
    </w:p>
    <w:p w:rsidR="00150371" w:rsidRDefault="00150371" w:rsidP="001503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150371">
        <w:rPr>
          <w:sz w:val="28"/>
          <w:szCs w:val="28"/>
        </w:rPr>
        <w:t xml:space="preserve"> </w:t>
      </w:r>
      <w:r w:rsidRPr="00150371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185 132,53 грн, за рахунок власних коштів бюджету громади в сумі 245161,68 грн.</w:t>
      </w:r>
    </w:p>
    <w:p w:rsidR="007A3A37" w:rsidRPr="00C63660" w:rsidRDefault="007A3A37" w:rsidP="007A3A37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Впродовж І кварталу 2021 року з бюджету Степанківської сільської територіальної громади іншим бюджетам перераховано 545 938,00 грн</w:t>
      </w:r>
      <w:r w:rsidRPr="007A3A37">
        <w:rPr>
          <w:sz w:val="28"/>
          <w:szCs w:val="28"/>
          <w:u w:val="single"/>
        </w:rPr>
        <w:t xml:space="preserve"> </w:t>
      </w:r>
      <w:r w:rsidRPr="007A3A37">
        <w:rPr>
          <w:sz w:val="28"/>
          <w:szCs w:val="28"/>
        </w:rPr>
        <w:t>міжбюджетних трансферів.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Інші субвенції з місцевого бюджету перераховані: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праці працівників позашкільного закладу Центру дитячої та юнацької творчості в сумі  - 12 761,00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тренера по футболу в сумі – 32 812,00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проведення медичних оглядів військовозобов’язаних та призовників для КНП «Черкаська центральна районна лікарня» в сумі – 27243,00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утримання КУ «Інклюзивно-ресурсний центр» Червонослобідської сільської ради в сумі – 5 440,00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енергоносіїв для КНП «Черкаська центральна районна лікарня» в сумі – 50 000,00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«Смілянський районний центр первинної медико-санітарної допомоги» в сумі – 38 059,00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у 2021 році КНП «Смілянська багатопрофільна лікарня ім. Софії Бобринської» в сумі – 29 240,00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«Черкаська центральна районна лікарня» в сумі – 74 940,00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141 700,00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</w:t>
      </w:r>
      <w:r w:rsidRPr="007A3A37">
        <w:rPr>
          <w:rFonts w:eastAsia="Calibri"/>
          <w:sz w:val="28"/>
          <w:szCs w:val="28"/>
          <w:lang w:eastAsia="en-US"/>
        </w:rPr>
        <w:t xml:space="preserve"> підтримку у 2021 році КНП «Черкаський районний центр первинної медико-санітарної допомоги» в сумі – 133 743,00 грн.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</w:t>
      </w:r>
      <w:r w:rsidR="00023DBF">
        <w:rPr>
          <w:sz w:val="28"/>
          <w:szCs w:val="28"/>
        </w:rPr>
        <w:t>2</w:t>
      </w:r>
      <w:r w:rsidR="001A7B46">
        <w:rPr>
          <w:sz w:val="28"/>
          <w:szCs w:val="28"/>
        </w:rPr>
        <w:t>1</w:t>
      </w:r>
      <w:r w:rsidR="00023DBF"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залишки коштів на спеціальному рахунку бюджет</w:t>
      </w:r>
      <w:r w:rsidR="00023DBF">
        <w:rPr>
          <w:sz w:val="28"/>
          <w:szCs w:val="28"/>
        </w:rPr>
        <w:t xml:space="preserve">у по бюджету розвитку становив </w:t>
      </w:r>
      <w:r w:rsidR="001A7B46">
        <w:rPr>
          <w:sz w:val="28"/>
          <w:szCs w:val="28"/>
        </w:rPr>
        <w:t>3866,84</w:t>
      </w:r>
      <w:r w:rsidR="00023DBF" w:rsidRPr="00023D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1A7B46">
        <w:rPr>
          <w:sz w:val="28"/>
          <w:szCs w:val="28"/>
        </w:rPr>
        <w:t>І кварталу 2021</w:t>
      </w:r>
      <w:r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1A7B46">
        <w:rPr>
          <w:sz w:val="28"/>
          <w:szCs w:val="28"/>
        </w:rPr>
        <w:t>129285,58грн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</w:t>
      </w:r>
      <w:r w:rsidR="001A7B46">
        <w:rPr>
          <w:sz w:val="28"/>
          <w:szCs w:val="28"/>
        </w:rPr>
        <w:t xml:space="preserve"> спеціального фонду</w:t>
      </w:r>
      <w:r>
        <w:rPr>
          <w:sz w:val="28"/>
          <w:szCs w:val="28"/>
        </w:rPr>
        <w:t>.</w:t>
      </w:r>
    </w:p>
    <w:p w:rsidR="00576FD2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За рахунок коштів бюджету розвитку </w:t>
      </w:r>
      <w:r w:rsidR="00B63B18"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протягом </w:t>
      </w:r>
      <w:r w:rsidR="00023DBF">
        <w:rPr>
          <w:sz w:val="28"/>
          <w:szCs w:val="28"/>
        </w:rPr>
        <w:t>І кварталу 202</w:t>
      </w:r>
      <w:r w:rsidR="00B63B18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="00B63B18">
        <w:rPr>
          <w:sz w:val="28"/>
          <w:szCs w:val="28"/>
        </w:rPr>
        <w:t>видатки проведені на суму 129285,58</w:t>
      </w:r>
      <w:r>
        <w:rPr>
          <w:sz w:val="28"/>
          <w:szCs w:val="28"/>
        </w:rPr>
        <w:t xml:space="preserve"> </w:t>
      </w:r>
      <w:r w:rsidR="00576FD2">
        <w:rPr>
          <w:sz w:val="28"/>
          <w:szCs w:val="28"/>
        </w:rPr>
        <w:t>грн.</w:t>
      </w:r>
    </w:p>
    <w:p w:rsidR="00576FD2" w:rsidRDefault="00576FD2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53F0E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576FD2" w:rsidRDefault="00576FD2" w:rsidP="00576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AA0" wp14:editId="32E9B584">
                <wp:simplePos x="0" y="0"/>
                <wp:positionH relativeFrom="margin">
                  <wp:posOffset>2987040</wp:posOffset>
                </wp:positionH>
                <wp:positionV relativeFrom="paragraph">
                  <wp:posOffset>231775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856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35.2pt;margin-top:18.2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" adj="18178,20744,16200" fillcolor="#a8d08d [1945]" strokecolor="#7f7f7f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B4E4B76" wp14:editId="65B1E035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1DE7" w:rsidRDefault="005A1DE7" w:rsidP="005A1D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DE7" w:rsidRPr="005A1DE7" w:rsidRDefault="00A71936" w:rsidP="005A1DE7">
      <w:pPr>
        <w:tabs>
          <w:tab w:val="left" w:pos="567"/>
        </w:tabs>
        <w:spacing w:after="0" w:line="240" w:lineRule="auto"/>
        <w:ind w:lef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Реалізація програми «Громадський бюджет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(бюджет участі)  в Степанківській сільській територіальній громаді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роки»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І квартал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AB56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</w:p>
    <w:p w:rsidR="005A1DE7" w:rsidRDefault="005A1DE7" w:rsidP="005A1DE7">
      <w:pPr>
        <w:tabs>
          <w:tab w:val="left" w:pos="567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році розпорядженням сільського голови було створено Координаційну раду з питань Громадського бюджету (бюджету участі) та рішенням сесії </w:t>
      </w:r>
      <w:r w:rsidR="00AB5643" w:rsidRPr="00AB5643">
        <w:rPr>
          <w:rFonts w:ascii="Times New Roman" w:eastAsia="Times New Roman" w:hAnsi="Times New Roman"/>
          <w:sz w:val="28"/>
          <w:szCs w:val="28"/>
          <w:lang w:eastAsia="ru-RU"/>
        </w:rPr>
        <w:t>від 23.06.2020 №47-7/VІІ</w:t>
      </w:r>
      <w:r w:rsidR="00AB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  <w:r w:rsidRPr="00296C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Положення та Програму про Громадський бюджет (бюджет участі) у Степанківській сільській об’єднаній територіал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ьній громаді на 2020-2021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роки.</w:t>
      </w:r>
    </w:p>
    <w:p w:rsidR="00A71936" w:rsidRDefault="00A71936" w:rsidP="00A7193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427">
        <w:rPr>
          <w:rFonts w:ascii="Times New Roman" w:hAnsi="Times New Roman"/>
          <w:sz w:val="28"/>
          <w:szCs w:val="28"/>
          <w:lang w:eastAsia="ru-RU"/>
        </w:rPr>
        <w:t>Виконавчий комітет Степанківської сільської ради визначений головним розпорядником бюджетних коштів та відповідальним за реалізацію проєктів у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87427">
        <w:rPr>
          <w:rFonts w:ascii="Times New Roman" w:hAnsi="Times New Roman"/>
          <w:sz w:val="28"/>
          <w:szCs w:val="28"/>
          <w:lang w:eastAsia="ru-RU"/>
        </w:rPr>
        <w:t xml:space="preserve"> році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1DE7" w:rsidRDefault="005A1DE7" w:rsidP="00A71936">
      <w:pPr>
        <w:tabs>
          <w:tab w:val="left" w:pos="567"/>
        </w:tabs>
        <w:spacing w:after="0" w:line="240" w:lineRule="auto"/>
        <w:ind w:lef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І кварталу 2021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>проводився аналіз проектів</w:t>
      </w:r>
      <w:r w:rsidR="00DA34F6"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переможців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визначення кодів ДК 021:2015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заплановані до реалізації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протягом 202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0CC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F1" w:rsidRDefault="00A148F1" w:rsidP="00F83F8C">
      <w:pPr>
        <w:spacing w:after="0" w:line="240" w:lineRule="auto"/>
      </w:pPr>
      <w:r>
        <w:separator/>
      </w:r>
    </w:p>
  </w:endnote>
  <w:endnote w:type="continuationSeparator" w:id="0">
    <w:p w:rsidR="00A148F1" w:rsidRDefault="00A148F1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333498" w:rsidRDefault="0033349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9C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33498" w:rsidRDefault="003334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F1" w:rsidRDefault="00A148F1" w:rsidP="00F83F8C">
      <w:pPr>
        <w:spacing w:after="0" w:line="240" w:lineRule="auto"/>
      </w:pPr>
      <w:r>
        <w:separator/>
      </w:r>
    </w:p>
  </w:footnote>
  <w:footnote w:type="continuationSeparator" w:id="0">
    <w:p w:rsidR="00A148F1" w:rsidRDefault="00A148F1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51361"/>
    <w:rsid w:val="00061991"/>
    <w:rsid w:val="00067C6A"/>
    <w:rsid w:val="00072168"/>
    <w:rsid w:val="00073BFE"/>
    <w:rsid w:val="00073E2F"/>
    <w:rsid w:val="00084AA1"/>
    <w:rsid w:val="0009095A"/>
    <w:rsid w:val="000940F0"/>
    <w:rsid w:val="00094578"/>
    <w:rsid w:val="000A2A9A"/>
    <w:rsid w:val="000A53B1"/>
    <w:rsid w:val="000A59F5"/>
    <w:rsid w:val="000D13EA"/>
    <w:rsid w:val="000D3DE5"/>
    <w:rsid w:val="000D43E9"/>
    <w:rsid w:val="000D5810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50371"/>
    <w:rsid w:val="0015040E"/>
    <w:rsid w:val="00154131"/>
    <w:rsid w:val="00161AD6"/>
    <w:rsid w:val="00166BF4"/>
    <w:rsid w:val="00173CCD"/>
    <w:rsid w:val="00180D9C"/>
    <w:rsid w:val="001828AC"/>
    <w:rsid w:val="00182E47"/>
    <w:rsid w:val="001932A2"/>
    <w:rsid w:val="001A579A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FEE"/>
    <w:rsid w:val="00282A7E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40D8D"/>
    <w:rsid w:val="003429F1"/>
    <w:rsid w:val="00342D72"/>
    <w:rsid w:val="0034382B"/>
    <w:rsid w:val="00357B3A"/>
    <w:rsid w:val="00363B20"/>
    <w:rsid w:val="003648F9"/>
    <w:rsid w:val="0037691E"/>
    <w:rsid w:val="003825C1"/>
    <w:rsid w:val="00384D48"/>
    <w:rsid w:val="00395323"/>
    <w:rsid w:val="003A0C17"/>
    <w:rsid w:val="003A5B45"/>
    <w:rsid w:val="003A6F9D"/>
    <w:rsid w:val="003A7414"/>
    <w:rsid w:val="003B3E8D"/>
    <w:rsid w:val="003B67DD"/>
    <w:rsid w:val="003D0188"/>
    <w:rsid w:val="003D397A"/>
    <w:rsid w:val="003E1045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32A4"/>
    <w:rsid w:val="004B06DC"/>
    <w:rsid w:val="004B0BD1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605F"/>
    <w:rsid w:val="00544703"/>
    <w:rsid w:val="00545B36"/>
    <w:rsid w:val="00546E64"/>
    <w:rsid w:val="0054757A"/>
    <w:rsid w:val="005506E5"/>
    <w:rsid w:val="0055235A"/>
    <w:rsid w:val="005529CC"/>
    <w:rsid w:val="005553ED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4EBE"/>
    <w:rsid w:val="007F665C"/>
    <w:rsid w:val="00800374"/>
    <w:rsid w:val="0081254F"/>
    <w:rsid w:val="00814DFD"/>
    <w:rsid w:val="00820B41"/>
    <w:rsid w:val="00821A75"/>
    <w:rsid w:val="00826879"/>
    <w:rsid w:val="00835C99"/>
    <w:rsid w:val="00835D10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D16E6"/>
    <w:rsid w:val="008D5BB0"/>
    <w:rsid w:val="008E29EF"/>
    <w:rsid w:val="008E376D"/>
    <w:rsid w:val="008E5AB6"/>
    <w:rsid w:val="008E6DC1"/>
    <w:rsid w:val="008F2754"/>
    <w:rsid w:val="008F3C35"/>
    <w:rsid w:val="008F3E45"/>
    <w:rsid w:val="008F4A26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81205"/>
    <w:rsid w:val="00981999"/>
    <w:rsid w:val="009844F9"/>
    <w:rsid w:val="00991CE2"/>
    <w:rsid w:val="00995B74"/>
    <w:rsid w:val="00997246"/>
    <w:rsid w:val="009979C8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48F1"/>
    <w:rsid w:val="00A15388"/>
    <w:rsid w:val="00A2155D"/>
    <w:rsid w:val="00A33A4F"/>
    <w:rsid w:val="00A34A16"/>
    <w:rsid w:val="00A34D9B"/>
    <w:rsid w:val="00A37BD9"/>
    <w:rsid w:val="00A52861"/>
    <w:rsid w:val="00A53F85"/>
    <w:rsid w:val="00A54F84"/>
    <w:rsid w:val="00A55319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5D5D"/>
    <w:rsid w:val="00B03C5A"/>
    <w:rsid w:val="00B048B5"/>
    <w:rsid w:val="00B060BC"/>
    <w:rsid w:val="00B10F48"/>
    <w:rsid w:val="00B1470F"/>
    <w:rsid w:val="00B16A2C"/>
    <w:rsid w:val="00B3548B"/>
    <w:rsid w:val="00B37471"/>
    <w:rsid w:val="00B37DD1"/>
    <w:rsid w:val="00B4052F"/>
    <w:rsid w:val="00B46267"/>
    <w:rsid w:val="00B5454A"/>
    <w:rsid w:val="00B57E23"/>
    <w:rsid w:val="00B63B18"/>
    <w:rsid w:val="00B700D2"/>
    <w:rsid w:val="00B71214"/>
    <w:rsid w:val="00B73CEB"/>
    <w:rsid w:val="00B7419F"/>
    <w:rsid w:val="00B9646E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77CC"/>
    <w:rsid w:val="00C8194C"/>
    <w:rsid w:val="00C84DBF"/>
    <w:rsid w:val="00C913DF"/>
    <w:rsid w:val="00C96A78"/>
    <w:rsid w:val="00CA037E"/>
    <w:rsid w:val="00CA75E6"/>
    <w:rsid w:val="00CB3426"/>
    <w:rsid w:val="00CB5A39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2E3F"/>
    <w:rsid w:val="00D53D03"/>
    <w:rsid w:val="00D55FD2"/>
    <w:rsid w:val="00D7704A"/>
    <w:rsid w:val="00D812D5"/>
    <w:rsid w:val="00D92C9D"/>
    <w:rsid w:val="00D97D63"/>
    <w:rsid w:val="00DA06D0"/>
    <w:rsid w:val="00DA1EFF"/>
    <w:rsid w:val="00DA34F6"/>
    <w:rsid w:val="00DD3515"/>
    <w:rsid w:val="00DD4121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5BBD"/>
    <w:rsid w:val="00E26A71"/>
    <w:rsid w:val="00E31609"/>
    <w:rsid w:val="00E32CAD"/>
    <w:rsid w:val="00E33A0F"/>
    <w:rsid w:val="00E40354"/>
    <w:rsid w:val="00E41BA3"/>
    <w:rsid w:val="00E66947"/>
    <w:rsid w:val="00E672B9"/>
    <w:rsid w:val="00E712F3"/>
    <w:rsid w:val="00E74602"/>
    <w:rsid w:val="00E7524B"/>
    <w:rsid w:val="00E81F4E"/>
    <w:rsid w:val="00E87CCE"/>
    <w:rsid w:val="00E94C65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42BD"/>
    <w:rsid w:val="00EE6721"/>
    <w:rsid w:val="00EF1C1C"/>
    <w:rsid w:val="00F03E8C"/>
    <w:rsid w:val="00F131ED"/>
    <w:rsid w:val="00F15B78"/>
    <w:rsid w:val="00F32B40"/>
    <w:rsid w:val="00F34CB8"/>
    <w:rsid w:val="00F43183"/>
    <w:rsid w:val="00F43583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D3B3"/>
  <w15:docId w15:val="{EB817F80-5A2D-4262-9ABD-63B73F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1.xml"/><Relationship Id="rId1" Type="http://schemas.microsoft.com/office/2011/relationships/chartStyle" Target="style2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2021 року, 8491373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66,17%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2021 року, 4341244,00 грн, 33,83%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48629 грн., 21,9%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164823 грн, 74,5%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525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76E-2"/>
                  <c:y val="-7.0796460176991149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4.0133779264213965E-2"/>
                  <c:y val="-0.128614372441200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7.1348940914158304E-2"/>
                  <c:y val="-0.128342245989304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3377926421404682E-2"/>
                  <c:y val="-0.11061182163843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08C-4D4D-8A1F-8C712D5EAA27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08C-4D4D-8A1F-8C712D5EAA27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08C-4D4D-8A1F-8C712D5EAA27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08C-4D4D-8A1F-8C712D5EAA27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08C-4D4D-8A1F-8C712D5EAA27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08C-4D4D-8A1F-8C712D5EAA27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08C-4D4D-8A1F-8C712D5EAA27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08C-4D4D-8A1F-8C712D5EAA27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08C-4D4D-8A1F-8C712D5EAA27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3DA0-4473-9B17-929297DE68B2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DA0-4473-9B17-929297DE68B2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8C-4D4D-8A1F-8C712D5EAA27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08C-4D4D-8A1F-8C712D5EAA27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08C-4D4D-8A1F-8C712D5EAA27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08C-4D4D-8A1F-8C712D5EAA27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8C-4D4D-8A1F-8C712D5EAA27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08C-4D4D-8A1F-8C712D5EAA27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08C-4D4D-8A1F-8C712D5EAA27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08C-4D4D-8A1F-8C712D5EAA27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08C-4D4D-8A1F-8C712D5EAA27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A0-4473-9B17-929297DE68B2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A0-4473-9B17-929297DE68B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08C-4D4D-8A1F-8C712D5EAA2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12174725.130000001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A-4410-9998-56D94B752BA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129285.58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A-4410-9998-56D94B752B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18944"/>
        <c:axId val="181633024"/>
      </c:barChart>
      <c:catAx>
        <c:axId val="18161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33024"/>
        <c:crosses val="autoZero"/>
        <c:auto val="1"/>
        <c:lblAlgn val="ctr"/>
        <c:lblOffset val="100"/>
        <c:noMultiLvlLbl val="0"/>
      </c:catAx>
      <c:valAx>
        <c:axId val="1816330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D5-45A8-9CDB-C1E9AB01AEE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D5-45A8-9CDB-C1E9AB01AEE1}"/>
                </c:ext>
              </c:extLst>
            </c:dLbl>
            <c:dLbl>
              <c:idx val="2"/>
              <c:layout>
                <c:manualLayout>
                  <c:x val="-9.1012514220705342E-3"/>
                  <c:y val="-9.7087378640776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D5-45A8-9CDB-C1E9AB01AEE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D5-45A8-9CDB-C1E9AB01AEE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1914.64</c:v>
                </c:pt>
                <c:pt idx="1">
                  <c:v>1381.17</c:v>
                </c:pt>
                <c:pt idx="2">
                  <c:v>3712.59</c:v>
                </c:pt>
                <c:pt idx="3">
                  <c:v>91.47</c:v>
                </c:pt>
                <c:pt idx="4">
                  <c:v>339.38</c:v>
                </c:pt>
                <c:pt idx="5">
                  <c:v>0</c:v>
                </c:pt>
                <c:pt idx="6">
                  <c:v>270.81</c:v>
                </c:pt>
                <c:pt idx="7">
                  <c:v>0</c:v>
                </c:pt>
                <c:pt idx="8">
                  <c:v>384.6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2-4FC5-BFD2-33C7061541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5-45A8-9CDB-C1E9AB01AEE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5-45A8-9CDB-C1E9AB01AEE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D5-45A8-9CDB-C1E9AB01AEE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D5-45A8-9CDB-C1E9AB01AEE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D5-45A8-9CDB-C1E9AB01AEE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D5-45A8-9CDB-C1E9AB01AEE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B2-4FC5-BFD2-33C706154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83958144"/>
        <c:axId val="183959936"/>
        <c:axId val="0"/>
      </c:bar3DChart>
      <c:catAx>
        <c:axId val="18395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59936"/>
        <c:crosses val="autoZero"/>
        <c:auto val="1"/>
        <c:lblAlgn val="ctr"/>
        <c:lblOffset val="100"/>
        <c:noMultiLvlLbl val="0"/>
      </c:catAx>
      <c:valAx>
        <c:axId val="183959936"/>
        <c:scaling>
          <c:orientation val="minMax"/>
          <c:max val="57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83958144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3BB9-470D-8C43-83BF3DF5E2D7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281074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BB9-470D-8C43-83BF3DF5E2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3BB9-470D-8C43-83BF3DF5E2D7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129286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BB9-470D-8C43-83BF3DF5E2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379739776"/>
        <c:axId val="379739448"/>
        <c:axId val="0"/>
      </c:bar3DChart>
      <c:catAx>
        <c:axId val="3797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448"/>
        <c:crosses val="autoZero"/>
        <c:auto val="1"/>
        <c:lblAlgn val="ctr"/>
        <c:lblOffset val="100"/>
        <c:noMultiLvlLbl val="0"/>
      </c:catAx>
      <c:valAx>
        <c:axId val="379739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776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243032329988852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2036254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3283612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4070840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3284132841328414"/>
                  <c:y val="-0.10256410256410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3986745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836008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970165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3512745839115E-3"/>
                  <c:y val="-0.170114589334869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1097202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1601106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8.7327545595261742E-3"/>
                  <c:y val="-7.186430643537983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881129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1.7094017094017096E-2"/>
                  <c:y val="-5.141554674086794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1106929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2464499629853957E-3"/>
                  <c:y val="-0.165762042902531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929891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1094477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3986745 грн., 48,2%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139861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471214 грн., 5,7%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111349 грн., 1,3%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1601106 грн., 19,36%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40415 грн., 0,5%.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1094477 грн., 13,2%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70160 грн., 0,8%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75000"/>
                  <a:alpha val="88000"/>
                </a:srgb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0066714068768161E-2"/>
                  <c:y val="-7.4782967663022726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0.50554</cdr:x>
      <cdr:y>0.14262</cdr:y>
    </cdr:from>
    <cdr:to>
      <cdr:x>0.74126</cdr:x>
      <cdr:y>0.24068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171700" y="400756"/>
          <a:ext cx="1012581" cy="275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-151788</a:t>
          </a:r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2EB3-97D5-462E-B6DC-40B8319C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8612</Words>
  <Characters>49091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2021-04-19T12:07:00Z</cp:lastPrinted>
  <dcterms:created xsi:type="dcterms:W3CDTF">2021-04-23T07:42:00Z</dcterms:created>
  <dcterms:modified xsi:type="dcterms:W3CDTF">2021-04-23T07:42:00Z</dcterms:modified>
</cp:coreProperties>
</file>