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D16F" w14:textId="77777777" w:rsidR="006F7062" w:rsidRDefault="006F7062" w:rsidP="006F7062">
      <w:pPr>
        <w:jc w:val="right"/>
      </w:pPr>
      <w:bookmarkStart w:id="0" w:name="_GoBack"/>
      <w:bookmarkEnd w:id="0"/>
      <w:r>
        <w:t>ЗАТВЕРДЖЕНО</w:t>
      </w:r>
    </w:p>
    <w:p w14:paraId="5F233A68" w14:textId="77777777" w:rsidR="006F7062" w:rsidRDefault="006F7062" w:rsidP="006F7062">
      <w:pPr>
        <w:jc w:val="right"/>
      </w:pP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14:paraId="658492A1" w14:textId="77777777" w:rsidR="006F7062" w:rsidRDefault="006F7062" w:rsidP="006F7062">
      <w:pPr>
        <w:jc w:val="right"/>
      </w:pPr>
      <w:proofErr w:type="spellStart"/>
      <w:r>
        <w:t>від</w:t>
      </w:r>
      <w:proofErr w:type="spellEnd"/>
      <w:r>
        <w:t xml:space="preserve"> 08.07.2021 №116 </w:t>
      </w:r>
    </w:p>
    <w:p w14:paraId="29FA0514" w14:textId="77777777" w:rsidR="006F7062" w:rsidRDefault="006F7062" w:rsidP="006F7062">
      <w:pPr>
        <w:jc w:val="right"/>
      </w:pPr>
    </w:p>
    <w:p w14:paraId="77A19AE4" w14:textId="77777777" w:rsidR="006F7062" w:rsidRDefault="006F7062" w:rsidP="006F7062">
      <w:pPr>
        <w:jc w:val="both"/>
      </w:pPr>
      <w:r>
        <w:t xml:space="preserve"> </w:t>
      </w:r>
    </w:p>
    <w:p w14:paraId="0DC019BD" w14:textId="77777777" w:rsidR="006F7062" w:rsidRDefault="006F7062" w:rsidP="006F7062">
      <w:pPr>
        <w:jc w:val="both"/>
      </w:pPr>
    </w:p>
    <w:p w14:paraId="1DA81359" w14:textId="77777777" w:rsidR="006F7062" w:rsidRPr="00AA15C6" w:rsidRDefault="006F7062" w:rsidP="006F7062">
      <w:pPr>
        <w:jc w:val="center"/>
        <w:rPr>
          <w:b/>
        </w:rPr>
      </w:pPr>
      <w:r w:rsidRPr="00AA15C6">
        <w:rPr>
          <w:b/>
        </w:rPr>
        <w:t>ПЛАН ЗАХОДІВ</w:t>
      </w:r>
    </w:p>
    <w:p w14:paraId="53FAECD6" w14:textId="77777777" w:rsidR="006F7062" w:rsidRDefault="006F7062" w:rsidP="006F7062">
      <w:pPr>
        <w:jc w:val="center"/>
      </w:pPr>
      <w:proofErr w:type="spellStart"/>
      <w:r>
        <w:t>щодо</w:t>
      </w:r>
      <w:proofErr w:type="spellEnd"/>
    </w:p>
    <w:p w14:paraId="5C5CADB9" w14:textId="77777777" w:rsidR="006F7062" w:rsidRDefault="006F7062" w:rsidP="006F7062">
      <w:pPr>
        <w:jc w:val="center"/>
      </w:pPr>
      <w:proofErr w:type="spellStart"/>
      <w:r>
        <w:t>наповнення</w:t>
      </w:r>
      <w:proofErr w:type="spellEnd"/>
      <w:r>
        <w:t xml:space="preserve"> бюджету,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</w:p>
    <w:p w14:paraId="6A818632" w14:textId="77777777" w:rsidR="006F7062" w:rsidRDefault="006F7062" w:rsidP="006F7062">
      <w:pPr>
        <w:jc w:val="center"/>
      </w:pP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та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фінансово</w:t>
      </w:r>
      <w:proofErr w:type="spellEnd"/>
      <w:r>
        <w:t>-</w:t>
      </w:r>
    </w:p>
    <w:p w14:paraId="06060CE6" w14:textId="77777777" w:rsidR="006F7062" w:rsidRDefault="006F7062" w:rsidP="006F7062">
      <w:pPr>
        <w:jc w:val="center"/>
      </w:pPr>
      <w:proofErr w:type="spellStart"/>
      <w:r>
        <w:t>бюджетної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на 2021 </w:t>
      </w:r>
      <w:proofErr w:type="spellStart"/>
      <w:r>
        <w:t>рік</w:t>
      </w:r>
      <w:proofErr w:type="spellEnd"/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912"/>
        <w:gridCol w:w="2694"/>
        <w:gridCol w:w="2032"/>
      </w:tblGrid>
      <w:tr w:rsidR="006F7062" w:rsidRPr="00E7205F" w14:paraId="4D447C8E" w14:textId="77777777" w:rsidTr="006B07BA">
        <w:trPr>
          <w:trHeight w:val="1035"/>
          <w:tblHeader/>
        </w:trPr>
        <w:tc>
          <w:tcPr>
            <w:tcW w:w="629" w:type="dxa"/>
            <w:shd w:val="clear" w:color="auto" w:fill="FFFFFF"/>
            <w:hideMark/>
          </w:tcPr>
          <w:p w14:paraId="31299A23" w14:textId="77777777" w:rsidR="006F7062" w:rsidRPr="00E7205F" w:rsidRDefault="006F7062" w:rsidP="006B07BA">
            <w:pPr>
              <w:spacing w:after="150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№</w:t>
            </w:r>
          </w:p>
          <w:p w14:paraId="240B0E9A" w14:textId="77777777" w:rsidR="006F7062" w:rsidRPr="00E7205F" w:rsidRDefault="006F7062" w:rsidP="006B07BA">
            <w:pPr>
              <w:spacing w:after="150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912" w:type="dxa"/>
            <w:shd w:val="clear" w:color="auto" w:fill="FFFFFF"/>
            <w:hideMark/>
          </w:tcPr>
          <w:p w14:paraId="573BF446" w14:textId="77777777" w:rsidR="006F7062" w:rsidRPr="00E7205F" w:rsidRDefault="006F7062" w:rsidP="006B07BA">
            <w:pPr>
              <w:spacing w:after="150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Зміст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згідно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694" w:type="dxa"/>
            <w:shd w:val="clear" w:color="auto" w:fill="FFFFFF"/>
            <w:hideMark/>
          </w:tcPr>
          <w:p w14:paraId="32170277" w14:textId="77777777" w:rsidR="006F7062" w:rsidRPr="00E7205F" w:rsidRDefault="006F7062" w:rsidP="006B07BA">
            <w:pPr>
              <w:spacing w:after="150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2032" w:type="dxa"/>
            <w:shd w:val="clear" w:color="auto" w:fill="FFFFFF"/>
            <w:hideMark/>
          </w:tcPr>
          <w:p w14:paraId="37C64B53" w14:textId="77777777" w:rsidR="006F7062" w:rsidRPr="00E7205F" w:rsidRDefault="006F7062" w:rsidP="006B07BA">
            <w:pPr>
              <w:spacing w:after="150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6F7062" w:rsidRPr="00E7205F" w14:paraId="117184C7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6B1F6A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3A0F874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обсязі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інших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платежів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2021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році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саме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116856E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планових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2021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радою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наявної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бази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стану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ADAB0CF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безпідставного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темпів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порівняно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попереднім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роком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мобілізації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числі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детінізації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роботи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 xml:space="preserve">боргу,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склався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станом на 01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січня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 2021 року, у тому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числі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претензійно-позовної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роботи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2BDEDAF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системного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планових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інших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платежів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 бюджету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542F69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Фінансовий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57ABAB01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відносин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благоустрою,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захисту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пожежної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охорони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праці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правопорядку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FCC39B9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08CF71C9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94CDE0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Спеціаліст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, юрисконсульт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ED5F65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21B58ECE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AFF8D06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D20B0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ефективну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комісій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своєчасності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повноти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платежів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засідань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рідше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одного разу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місяць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подальшим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контролем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поставлених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завдань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FCE773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4D48088F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F7D315C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0DB8756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0E3E42D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</w:tr>
      <w:tr w:rsidR="006F7062" w:rsidRPr="00E7205F" w14:paraId="0D75AF25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34435C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09080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доходи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осіб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вжити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1A86963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роз’яснювальної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роботи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робочих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фактів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тіньової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зайнятості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”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випадків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порушень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про оплату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праці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особливо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частині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розмірі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меншому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мінімум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своєчасного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 бюджету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паїв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);</w:t>
            </w:r>
          </w:p>
          <w:p w14:paraId="383D9E5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підприємствах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особливо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підприємствах</w:t>
            </w:r>
            <w:proofErr w:type="spellEnd"/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недопускаючи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несвоєчасну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подальшому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F11C38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Фінансовий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72D4604A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87EEFD1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житлово-комунального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8C3055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CB16B7F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4BDFACD6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CCE745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D1313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плати за землю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 бюджету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4D58C04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вжиття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землекористувачами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ділянок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правовстановлюючих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за результатами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ділянок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0D616D9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розгляд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питання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земельними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ділянками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випадку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систематичної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несплати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або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за землю;</w:t>
            </w:r>
          </w:p>
          <w:p w14:paraId="10376A9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термін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завершено,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 порядку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статтею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33 Закону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землі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01AC1A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відносин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благоустрою,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захисту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пожежної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охорони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праці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правопорядку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громадян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0343B96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3EDEB0A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Спеціаліст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2CA5C2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08F6FAFF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EF671C5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778D9A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 бюджету</w:t>
            </w:r>
            <w:proofErr w:type="gram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18800A2A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0312B019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розгляд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питання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його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оренду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майна”.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EFA6374" w14:textId="77777777" w:rsidR="006F7062" w:rsidRPr="00882DEE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6C6581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82DEE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2D8FEA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04446A80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07CD33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457D8B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частині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пункту 12.3.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керуючись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пунктом 1 Порядку та форм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контролюючим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органам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вигляді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пільг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або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постановою</w:t>
            </w:r>
            <w:proofErr w:type="spellEnd"/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28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грудня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2020 року № 1330,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6921F7B6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15 липня 2021 року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рішень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змін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таких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рішень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або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ставок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 межах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законодавчо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розміру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728FE79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десятиденний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строк з дня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рішень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пізніше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25 липня 2021 року,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контролюючого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органу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вигляді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пільг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встановленими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чинним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формами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AB73D6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5769D9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Спеціаліст</w:t>
            </w:r>
            <w:proofErr w:type="spellEnd"/>
            <w:r w:rsidRPr="005769D9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769D9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769D9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2BA6869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терміни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чинним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</w:tr>
      <w:tr w:rsidR="006F7062" w:rsidRPr="00E7205F" w14:paraId="62843C1D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B6689F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3D8777A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12.3.3. пункту 12.3.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наказу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нсів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23 листопада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2020 року № 723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розрізі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осіб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органам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юстиції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08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грудня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2020 року за № 1223/35506:</w:t>
            </w:r>
          </w:p>
          <w:p w14:paraId="426C436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Структурним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підрозділам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аналіз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отриманої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через ІТС “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кабінет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задля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E61EC0E" w14:textId="77777777" w:rsidR="006F7062" w:rsidRPr="002C50F0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Фінансовий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1DA9ACAE" w14:textId="77777777" w:rsidR="006F7062" w:rsidRPr="002C50F0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1524FA7" w14:textId="77777777" w:rsidR="006F7062" w:rsidRPr="002C50F0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DC6753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2C50F0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8C6825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31028023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031B3A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3828C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Планувати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видатки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стимулюванням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кожної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установи,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умови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обсязі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безумовне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51 Бюджетного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частині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фактичних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лише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асигнувань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плату,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кошторисах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5806627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DBD18A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36D20578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FA92DC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E0DB15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77 Бюджетного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першочергове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залишків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понадпланових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вивільняються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першочерговими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 xml:space="preserve">оплату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енергоносіїв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741BAAD" w14:textId="77777777" w:rsidR="006F7062" w:rsidRPr="00BB4930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Фінансовий</w:t>
            </w:r>
            <w:proofErr w:type="spellEnd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B4930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6FA35709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4EEC74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7F5BE79B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289294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8C0444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Тримати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постійному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контролі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виплати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плати по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галузі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фінансуються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8C900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бюджету.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7D2E0A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3046BA34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D12B6F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7BFA33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напрями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власних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2019 – 2020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якісних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позабюджетних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2021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році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3A24D5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EA3E2F6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64F252CB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6237A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FCF40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карантину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посилених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карантинних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обмежень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вжиття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витрат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підпорядкованих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лише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першочергових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невідкладних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аналіз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карантинних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обмежень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напрямами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видатків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розрізі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вивільнених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2B8B64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E8F27AF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тижня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після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карантинних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обмежень</w:t>
            </w:r>
            <w:proofErr w:type="spellEnd"/>
          </w:p>
        </w:tc>
      </w:tr>
      <w:tr w:rsidR="006F7062" w:rsidRPr="00E7205F" w14:paraId="05524A8F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5F170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E02525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бюджетному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процесі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гендерного аспекту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підходу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бюджетному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процесі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02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січня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2019 року № 1.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1E7AD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  <w:p w14:paraId="7E5ABD9A" w14:textId="77777777" w:rsidR="006F7062" w:rsidRPr="00E7205F" w:rsidRDefault="006F7062" w:rsidP="006B07BA">
            <w:pPr>
              <w:spacing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28ABC3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04735767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030706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14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31381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товарів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робіт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публічні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”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принципів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публічності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системи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ProZorro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7409134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0F7E77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29C9136A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ECB86D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15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6C0C4D" w14:textId="77777777" w:rsidR="006F7062" w:rsidRPr="00E7205F" w:rsidRDefault="006F7062" w:rsidP="006B07BA">
            <w:pPr>
              <w:spacing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базі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системи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ProZorro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аналіз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снених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бюджетними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установами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одержувачами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нижчого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рівня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–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закупівель</w:t>
            </w:r>
            <w:proofErr w:type="spellEnd"/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товарів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робіт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бюджету.</w:t>
            </w:r>
            <w:r w:rsidRPr="00E7205F">
              <w:rPr>
                <w:rFonts w:ascii="ProbaPro" w:hAnsi="ProbaPro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Звернути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особливу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увагу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меті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F20A0F1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Головний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розпорядник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</w:p>
          <w:p w14:paraId="01CB1585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7054C3B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14A672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63127D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150D682C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FA805C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16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21AFB67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щорічних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планів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енергозбереження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витрат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енергоносіїв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2B57D1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бюджету;</w:t>
            </w:r>
          </w:p>
          <w:p w14:paraId="19D4A5A6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0DE3980B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F4C8B75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 xml:space="preserve">До 01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квітня</w:t>
            </w:r>
            <w:proofErr w:type="spellEnd"/>
          </w:p>
          <w:p w14:paraId="668EF30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2021 року</w:t>
            </w:r>
          </w:p>
        </w:tc>
      </w:tr>
      <w:tr w:rsidR="006F7062" w:rsidRPr="00E7205F" w14:paraId="1DF70695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E622EA9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17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A4D89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масштабної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енергомодернізації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”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частині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енергосервісних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істотного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або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витрат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паливно-енергетичних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ресурсів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або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1618D5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бюджету;</w:t>
            </w:r>
          </w:p>
          <w:p w14:paraId="6CC38682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240C0EFB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A7806E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050A5CB0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8C4371B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18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82CA66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569B5863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програм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чинного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змін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них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підставі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бюджетному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запиті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плану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середньостроковий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період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рішенням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про бюджет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територіальної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громади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порядків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керуючись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цілями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політики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сфері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209AA3AF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результативних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програмах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офіційній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статистичній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іншій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даним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статистичного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внутрішньо-господарського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управлінського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786429E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бюджету;</w:t>
            </w:r>
          </w:p>
          <w:p w14:paraId="24B6A3A2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ради;</w:t>
            </w:r>
          </w:p>
          <w:p w14:paraId="0DB0377A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3C4CEA95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DD036D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Спеціаліст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, юрисконсульт;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7D582DE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22885C7C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927DD6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18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F279E6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витрат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жорсткої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економії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враховуючи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ресурсне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перегляд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переліків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частині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083B297A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розподілом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60B2D44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2021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році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державного бюджету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обсязі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актами;</w:t>
            </w:r>
          </w:p>
          <w:p w14:paraId="4786B961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участі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будівництві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капітальному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ремонті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рахунок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бюджету;</w:t>
            </w:r>
          </w:p>
          <w:p w14:paraId="1682954F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концентрації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наявного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ресурсу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пріоритетних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соціально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значимих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проєктів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A6ADB9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7636A9F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BFE3C7E" w14:textId="77777777" w:rsidR="006F7062" w:rsidRPr="00816C95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816C95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03636261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C1C3FC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4F06ABED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50D4E4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19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C04127C" w14:textId="77777777" w:rsidR="006F7062" w:rsidRPr="00E7205F" w:rsidRDefault="006F7062" w:rsidP="006B07BA">
            <w:pPr>
              <w:spacing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звітів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 разом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пояснювальною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запискою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невикористаних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рахунках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одержувачів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причин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якої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числі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простроченої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стосовно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організаційних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програм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згідно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додатком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1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цього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плану) з</w:t>
            </w:r>
            <w:r w:rsidRPr="00E7205F">
              <w:rPr>
                <w:rFonts w:ascii="ProbaPro" w:hAnsi="ProbaPro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наведенням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причин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непогашення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простроченої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кредиторської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виникла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минулі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роки.</w:t>
            </w:r>
          </w:p>
          <w:p w14:paraId="1345E8DB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Вжити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врегулювання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питання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простроченої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списання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C02C9CF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205098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,</w:t>
            </w:r>
          </w:p>
          <w:p w14:paraId="664A64B7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 10 числа</w:t>
            </w:r>
          </w:p>
        </w:tc>
      </w:tr>
      <w:tr w:rsidR="006F7062" w:rsidRPr="00E7205F" w14:paraId="41811E8D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FE8F1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  20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C3759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відділу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освоєння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об’єктах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згідно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додатком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цього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плану 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 xml:space="preserve">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пояснювальними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записками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освоєння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A81EEDB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B4FD5C" w14:textId="77777777" w:rsidR="006F7062" w:rsidRPr="00DE7B82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,</w:t>
            </w:r>
          </w:p>
          <w:p w14:paraId="0B6875F0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до 10 числа</w:t>
            </w:r>
          </w:p>
        </w:tc>
      </w:tr>
      <w:tr w:rsidR="006F7062" w:rsidRPr="00E7205F" w14:paraId="554B02CF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7DE11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21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2FF47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повне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цільове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фондів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охорони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17 вересня 1996 року № 1147 “Про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переліку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природоохоронних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”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із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змінами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C31270" w14:textId="77777777" w:rsidR="006F7062" w:rsidRPr="00DE7B8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бюджету;</w:t>
            </w:r>
          </w:p>
          <w:p w14:paraId="45A720EA" w14:textId="77777777" w:rsidR="006F7062" w:rsidRPr="00DE7B8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37A67CC3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0D10D2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40D03926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B793B8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22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2AACF7C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повне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цільове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надходять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 порядку</w:t>
            </w:r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втрат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209 Земельного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E6B97C" w14:textId="77777777" w:rsidR="006F7062" w:rsidRPr="00DE7B8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відносин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благоустрою,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захисту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пожежної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охорони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праці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питань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правопорядку та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безпеки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1766CA67" w14:textId="77777777" w:rsidR="006F7062" w:rsidRPr="00DE7B8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5D6F8ABD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DE7B82"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2A4CC7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73B2FDE4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2D2BE4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23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2F98F70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підвідомчих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:</w:t>
            </w:r>
          </w:p>
          <w:p w14:paraId="4B008BB6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статті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26 Бюджетного кодексу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України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системи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контролю;</w:t>
            </w:r>
          </w:p>
          <w:p w14:paraId="6EFC9EA7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вжиття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системних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дієвих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заходів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контролю за станом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обліку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персональної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вимог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-бюджетного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своєчасного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заподіяної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шкоди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5F6F31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</w:p>
          <w:p w14:paraId="243994D4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0F3D64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7C31A29A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C3087E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24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299C92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постійний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фінансово-бюджетної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підвідомчих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подальші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заходи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аналіз</w:t>
            </w:r>
            <w:proofErr w:type="spellEnd"/>
            <w:proofErr w:type="gram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причин та умов,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сприяють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виникненню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порушень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спрямовувати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свою роботу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профілактику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давати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оцінку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діям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бездіяльності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осіб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C685BDE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A990A6C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F7062" w:rsidRPr="00E7205F" w14:paraId="5F033E7B" w14:textId="77777777" w:rsidTr="006B07BA">
        <w:tc>
          <w:tcPr>
            <w:tcW w:w="62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737F831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>
              <w:rPr>
                <w:rFonts w:ascii="ProbaPro" w:hAnsi="ProbaPro"/>
                <w:sz w:val="24"/>
                <w:szCs w:val="24"/>
                <w:lang w:eastAsia="ru-RU"/>
              </w:rPr>
              <w:t>25</w:t>
            </w:r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39283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Заслуховувати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комітету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питання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щодо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фінансово-бюджетної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дисципліни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визначати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дієві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заходи з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її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C8E3EF" w14:textId="77777777" w:rsidR="006F7062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Головні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ProbaPro" w:hAnsi="ProbaPro"/>
                <w:sz w:val="24"/>
                <w:szCs w:val="24"/>
                <w:lang w:eastAsia="ru-RU"/>
              </w:rPr>
              <w:t>;</w:t>
            </w:r>
          </w:p>
          <w:p w14:paraId="35DCF768" w14:textId="77777777" w:rsidR="006F7062" w:rsidRPr="00E7205F" w:rsidRDefault="006F7062" w:rsidP="006B07BA">
            <w:pPr>
              <w:spacing w:after="150" w:line="360" w:lineRule="atLeast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Фінансовий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відділ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robaPro" w:hAnsi="ProbaPro"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ProbaPro" w:hAnsi="ProbaPro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03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0C115E" w14:textId="77777777" w:rsidR="006F7062" w:rsidRPr="00E7205F" w:rsidRDefault="006F7062" w:rsidP="006B07BA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E7205F">
              <w:rPr>
                <w:rFonts w:ascii="ProbaPro" w:hAnsi="ProbaPro"/>
                <w:sz w:val="24"/>
                <w:szCs w:val="24"/>
                <w:lang w:eastAsia="ru-RU"/>
              </w:rPr>
              <w:t xml:space="preserve"> року</w:t>
            </w:r>
          </w:p>
        </w:tc>
      </w:tr>
    </w:tbl>
    <w:p w14:paraId="1A80CDED" w14:textId="77777777" w:rsidR="006F7062" w:rsidRDefault="006F7062" w:rsidP="006F7062">
      <w:pPr>
        <w:jc w:val="both"/>
      </w:pPr>
    </w:p>
    <w:p w14:paraId="5A68BD63" w14:textId="77777777" w:rsidR="006F7062" w:rsidRDefault="006F7062" w:rsidP="006F7062">
      <w:pPr>
        <w:jc w:val="both"/>
      </w:pPr>
    </w:p>
    <w:p w14:paraId="4F1DEAF4" w14:textId="62837E76" w:rsidR="00E14CB7" w:rsidRPr="00DF0B40" w:rsidRDefault="00E14CB7" w:rsidP="00DF0B40"/>
    <w:sectPr w:rsidR="00E14CB7" w:rsidRPr="00DF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699D"/>
    <w:multiLevelType w:val="hybridMultilevel"/>
    <w:tmpl w:val="0B8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511668"/>
    <w:rsid w:val="006F7062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DF0B40"/>
    <w:rsid w:val="00E14CB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  <w:style w:type="character" w:customStyle="1" w:styleId="xfm45060651">
    <w:name w:val="xfm_45060651"/>
    <w:basedOn w:val="a0"/>
    <w:rsid w:val="00F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2021-11-29T11:30:00Z</dcterms:created>
  <dcterms:modified xsi:type="dcterms:W3CDTF">2021-11-29T11:30:00Z</dcterms:modified>
</cp:coreProperties>
</file>