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FF" w:rsidRDefault="00142EFF" w:rsidP="00142E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C86C882" wp14:editId="09C71AAA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52473"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142EFF" w:rsidRDefault="00043AA9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Сім</w:t>
      </w:r>
      <w:r w:rsidR="0046533E">
        <w:rPr>
          <w:rFonts w:ascii="Times New Roman" w:hAnsi="Times New Roman"/>
          <w:b/>
          <w:sz w:val="28"/>
          <w:szCs w:val="28"/>
          <w:lang w:val="uk-UA" w:eastAsia="ru-RU"/>
        </w:rPr>
        <w:t xml:space="preserve">надцята 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142EFF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>I скликання</w:t>
      </w:r>
    </w:p>
    <w:p w:rsidR="00142EFF" w:rsidRPr="00E8057B" w:rsidRDefault="00142EFF" w:rsidP="00142E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8057B">
        <w:rPr>
          <w:rFonts w:ascii="Times New Roman" w:hAnsi="Times New Roman"/>
          <w:b/>
          <w:sz w:val="28"/>
          <w:szCs w:val="28"/>
          <w:lang w:val="uk-UA" w:eastAsia="ru-RU"/>
        </w:rPr>
        <w:t>ПРОЕКТ</w:t>
      </w:r>
    </w:p>
    <w:p w:rsidR="00142EFF" w:rsidRPr="004851FC" w:rsidRDefault="00142EFF" w:rsidP="00142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142EFF" w:rsidRPr="00E8057B" w:rsidRDefault="00E8057B" w:rsidP="00E8057B">
      <w:pPr>
        <w:rPr>
          <w:rFonts w:ascii="Times New Roman" w:hAnsi="Times New Roman"/>
          <w:b/>
          <w:sz w:val="28"/>
          <w:szCs w:val="28"/>
          <w:lang w:val="uk-UA"/>
        </w:rPr>
      </w:pPr>
      <w:r w:rsidRPr="00E8057B">
        <w:rPr>
          <w:rFonts w:ascii="Times New Roman" w:hAnsi="Times New Roman"/>
          <w:b/>
          <w:sz w:val="28"/>
          <w:szCs w:val="28"/>
          <w:lang w:val="uk-UA"/>
        </w:rPr>
        <w:t>00.</w:t>
      </w:r>
      <w:r w:rsidR="00043AA9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.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202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1    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 xml:space="preserve">   №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00-00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/VIII</w:t>
      </w:r>
    </w:p>
    <w:p w:rsidR="00142EFF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10DB5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42E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A7E45">
        <w:rPr>
          <w:rFonts w:ascii="Times New Roman" w:hAnsi="Times New Roman"/>
          <w:b/>
          <w:sz w:val="28"/>
          <w:szCs w:val="28"/>
          <w:lang w:val="uk-UA"/>
        </w:rPr>
        <w:t>виконання програми «</w:t>
      </w:r>
      <w:r w:rsidR="00410DB5">
        <w:rPr>
          <w:rFonts w:ascii="Times New Roman" w:hAnsi="Times New Roman"/>
          <w:b/>
          <w:sz w:val="28"/>
          <w:szCs w:val="28"/>
          <w:lang w:val="uk-UA"/>
        </w:rPr>
        <w:t>Правова</w:t>
      </w:r>
    </w:p>
    <w:p w:rsidR="00DB5409" w:rsidRPr="00E50A92" w:rsidRDefault="00410DB5" w:rsidP="00142EF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освіта населення</w:t>
      </w:r>
      <w:r w:rsidR="006A7E45">
        <w:rPr>
          <w:rFonts w:ascii="Times New Roman" w:hAnsi="Times New Roman"/>
          <w:b/>
          <w:sz w:val="28"/>
          <w:szCs w:val="28"/>
          <w:lang w:val="uk-UA"/>
        </w:rPr>
        <w:t>»</w:t>
      </w:r>
      <w:r w:rsidR="00142EFF" w:rsidRPr="00E32E7B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 w:rsidR="00043AA9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 w:rsidR="00043AA9" w:rsidRPr="00E50A92">
        <w:rPr>
          <w:rFonts w:ascii="Times New Roman" w:hAnsi="Times New Roman"/>
          <w:b/>
          <w:bCs/>
          <w:sz w:val="28"/>
          <w:szCs w:val="28"/>
          <w:lang w:val="uk-UA"/>
        </w:rPr>
        <w:t>на 2021 рік</w:t>
      </w:r>
    </w:p>
    <w:p w:rsidR="00DB5409" w:rsidRDefault="00142EFF" w:rsidP="00142EFF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42EFF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142EFF" w:rsidRPr="009C5874" w:rsidRDefault="005D41DF" w:rsidP="00DB540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C7340E">
        <w:rPr>
          <w:rFonts w:ascii="Times New Roman" w:hAnsi="Times New Roman"/>
          <w:sz w:val="28"/>
          <w:szCs w:val="28"/>
          <w:lang w:val="uk-UA"/>
        </w:rPr>
        <w:t xml:space="preserve"> п.22 </w:t>
      </w:r>
      <w:r w:rsidR="00945330">
        <w:rPr>
          <w:rFonts w:ascii="Times New Roman" w:hAnsi="Times New Roman"/>
          <w:sz w:val="28"/>
          <w:szCs w:val="28"/>
          <w:lang w:val="uk-UA"/>
        </w:rPr>
        <w:t>ч</w:t>
      </w:r>
      <w:r w:rsidR="00C7340E">
        <w:rPr>
          <w:rFonts w:ascii="Times New Roman" w:hAnsi="Times New Roman"/>
          <w:sz w:val="28"/>
          <w:szCs w:val="28"/>
          <w:lang w:val="uk-UA"/>
        </w:rPr>
        <w:t>.1 ст.26 та</w:t>
      </w:r>
      <w:r w:rsidR="00451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0847">
        <w:rPr>
          <w:rFonts w:ascii="Times New Roman" w:hAnsi="Times New Roman"/>
          <w:sz w:val="28"/>
          <w:szCs w:val="28"/>
          <w:lang w:val="uk-UA"/>
        </w:rPr>
        <w:t>п</w:t>
      </w:r>
      <w:r w:rsidR="00451776">
        <w:rPr>
          <w:rFonts w:ascii="Times New Roman" w:hAnsi="Times New Roman"/>
          <w:sz w:val="28"/>
          <w:szCs w:val="28"/>
          <w:lang w:val="uk-UA"/>
        </w:rPr>
        <w:t>п</w:t>
      </w:r>
      <w:r w:rsidR="00A30847">
        <w:rPr>
          <w:rFonts w:ascii="Times New Roman" w:hAnsi="Times New Roman"/>
          <w:sz w:val="28"/>
          <w:szCs w:val="28"/>
          <w:lang w:val="uk-UA"/>
        </w:rPr>
        <w:t>.</w:t>
      </w:r>
      <w:r w:rsidR="008B457F">
        <w:rPr>
          <w:rFonts w:ascii="Times New Roman" w:hAnsi="Times New Roman"/>
          <w:sz w:val="28"/>
          <w:szCs w:val="28"/>
          <w:lang w:val="uk-UA"/>
        </w:rPr>
        <w:t>1</w:t>
      </w:r>
      <w:r w:rsidR="00A30847">
        <w:rPr>
          <w:rFonts w:ascii="Times New Roman" w:hAnsi="Times New Roman"/>
          <w:sz w:val="28"/>
          <w:szCs w:val="28"/>
          <w:lang w:val="uk-UA"/>
        </w:rPr>
        <w:t>.</w:t>
      </w:r>
      <w:r w:rsidR="00D77C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1776">
        <w:rPr>
          <w:rFonts w:ascii="Times New Roman" w:hAnsi="Times New Roman"/>
          <w:sz w:val="28"/>
          <w:szCs w:val="28"/>
          <w:lang w:val="uk-UA"/>
        </w:rPr>
        <w:t>п.</w:t>
      </w:r>
      <w:r w:rsidR="008B457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8B457F">
        <w:rPr>
          <w:rFonts w:ascii="Times New Roman" w:hAnsi="Times New Roman"/>
          <w:sz w:val="28"/>
          <w:szCs w:val="28"/>
          <w:lang w:val="uk-UA"/>
        </w:rPr>
        <w:t xml:space="preserve"> ст.32</w:t>
      </w:r>
      <w:r w:rsidR="00D87D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D828F0">
        <w:rPr>
          <w:rFonts w:ascii="Times New Roman" w:hAnsi="Times New Roman"/>
          <w:sz w:val="28"/>
          <w:szCs w:val="28"/>
          <w:lang w:val="uk-UA"/>
        </w:rPr>
        <w:t>,</w:t>
      </w:r>
      <w:r w:rsidR="00714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2E7">
        <w:rPr>
          <w:rFonts w:ascii="Times New Roman" w:hAnsi="Times New Roman"/>
          <w:sz w:val="28"/>
          <w:szCs w:val="28"/>
          <w:lang w:val="uk-UA"/>
        </w:rPr>
        <w:t>ст.</w:t>
      </w:r>
      <w:r w:rsidR="00A66253">
        <w:rPr>
          <w:rFonts w:ascii="Times New Roman" w:hAnsi="Times New Roman"/>
          <w:sz w:val="28"/>
          <w:szCs w:val="28"/>
          <w:lang w:val="uk-UA"/>
        </w:rPr>
        <w:t>12</w:t>
      </w:r>
      <w:r w:rsidR="006622E7" w:rsidRPr="006622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2E7" w:rsidRPr="00E8057B">
        <w:rPr>
          <w:rFonts w:ascii="Times New Roman" w:hAnsi="Times New Roman"/>
          <w:sz w:val="28"/>
          <w:szCs w:val="28"/>
          <w:lang w:val="uk-UA"/>
        </w:rPr>
        <w:t xml:space="preserve">Закону </w:t>
      </w:r>
      <w:r w:rsidR="006622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2E7" w:rsidRPr="00E8057B">
        <w:rPr>
          <w:rFonts w:ascii="Times New Roman" w:hAnsi="Times New Roman"/>
          <w:sz w:val="28"/>
          <w:szCs w:val="28"/>
          <w:lang w:val="uk-UA"/>
        </w:rPr>
        <w:t>України</w:t>
      </w:r>
      <w:r w:rsidR="006622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2E7" w:rsidRPr="00E8057B">
        <w:rPr>
          <w:rFonts w:ascii="Times New Roman" w:hAnsi="Times New Roman"/>
          <w:sz w:val="28"/>
          <w:szCs w:val="28"/>
          <w:lang w:val="uk-UA"/>
        </w:rPr>
        <w:t>«Про світу</w:t>
      </w:r>
      <w:r w:rsidR="006622E7">
        <w:rPr>
          <w:rFonts w:ascii="Times New Roman" w:hAnsi="Times New Roman"/>
          <w:sz w:val="28"/>
          <w:szCs w:val="28"/>
          <w:lang w:val="uk-UA"/>
        </w:rPr>
        <w:t>»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,</w:t>
      </w:r>
      <w:r w:rsidR="00A66253">
        <w:rPr>
          <w:rFonts w:ascii="Times New Roman" w:hAnsi="Times New Roman"/>
          <w:sz w:val="28"/>
          <w:szCs w:val="28"/>
          <w:lang w:val="uk-UA"/>
        </w:rPr>
        <w:t xml:space="preserve"> Указу президента України від 18.10.2001 №992 </w:t>
      </w:r>
      <w:r w:rsidR="0013151C">
        <w:rPr>
          <w:rFonts w:ascii="Times New Roman" w:hAnsi="Times New Roman"/>
          <w:sz w:val="28"/>
          <w:szCs w:val="28"/>
          <w:lang w:val="uk-UA"/>
        </w:rPr>
        <w:t>«</w:t>
      </w:r>
      <w:r w:rsidR="00A66253">
        <w:rPr>
          <w:rFonts w:ascii="Times New Roman" w:hAnsi="Times New Roman"/>
          <w:sz w:val="28"/>
          <w:szCs w:val="28"/>
          <w:lang w:val="uk-UA"/>
        </w:rPr>
        <w:t>Про національну програму правової освіти населення</w:t>
      </w:r>
      <w:r w:rsidR="0013151C">
        <w:rPr>
          <w:rFonts w:ascii="Times New Roman" w:hAnsi="Times New Roman"/>
          <w:sz w:val="28"/>
          <w:szCs w:val="28"/>
          <w:lang w:val="uk-UA"/>
        </w:rPr>
        <w:t>», від 25.06.2013 №344/2013 «Про Національну стратегію розвитку освіти в Україні на період до 2021 року»,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874">
        <w:rPr>
          <w:rFonts w:ascii="Times New Roman" w:hAnsi="Times New Roman"/>
          <w:sz w:val="28"/>
          <w:szCs w:val="28"/>
          <w:lang w:val="uk-UA"/>
        </w:rPr>
        <w:t>на підставі рішення сесії Степанківської сільської ради від 21.12.2020 №02-</w:t>
      </w:r>
      <w:r w:rsidR="005D2291">
        <w:rPr>
          <w:rFonts w:ascii="Times New Roman" w:hAnsi="Times New Roman"/>
          <w:sz w:val="28"/>
          <w:szCs w:val="28"/>
          <w:lang w:val="uk-UA"/>
        </w:rPr>
        <w:t>0</w:t>
      </w:r>
      <w:r w:rsidR="0013151C">
        <w:rPr>
          <w:rFonts w:ascii="Times New Roman" w:hAnsi="Times New Roman"/>
          <w:sz w:val="28"/>
          <w:szCs w:val="28"/>
          <w:lang w:val="uk-UA"/>
        </w:rPr>
        <w:t>8</w:t>
      </w:r>
      <w:r w:rsidR="009C5874">
        <w:rPr>
          <w:rFonts w:ascii="Times New Roman" w:hAnsi="Times New Roman"/>
          <w:sz w:val="28"/>
          <w:szCs w:val="28"/>
          <w:lang w:val="uk-UA"/>
        </w:rPr>
        <w:t>/</w:t>
      </w:r>
      <w:r w:rsidR="009C5874" w:rsidRPr="00E8057B">
        <w:rPr>
          <w:rFonts w:ascii="Times New Roman" w:hAnsi="Times New Roman"/>
          <w:b/>
          <w:sz w:val="28"/>
          <w:szCs w:val="28"/>
          <w:lang w:val="uk-UA"/>
        </w:rPr>
        <w:t>/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VIII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«Про затвердження </w:t>
      </w:r>
      <w:r w:rsidR="00BF7E1B">
        <w:rPr>
          <w:rFonts w:ascii="Times New Roman" w:hAnsi="Times New Roman"/>
          <w:sz w:val="28"/>
          <w:szCs w:val="28"/>
          <w:lang w:val="uk-UA"/>
        </w:rPr>
        <w:t>п</w:t>
      </w:r>
      <w:r w:rsidR="009C5874">
        <w:rPr>
          <w:rFonts w:ascii="Times New Roman" w:hAnsi="Times New Roman"/>
          <w:sz w:val="28"/>
          <w:szCs w:val="28"/>
          <w:lang w:val="uk-UA"/>
        </w:rPr>
        <w:t>рограми «</w:t>
      </w:r>
      <w:r w:rsidR="0013151C">
        <w:rPr>
          <w:rFonts w:ascii="Times New Roman" w:hAnsi="Times New Roman"/>
          <w:sz w:val="28"/>
          <w:szCs w:val="28"/>
          <w:lang w:val="uk-UA"/>
        </w:rPr>
        <w:t>Правова освіта населення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» на 2021 рік», розглянувши інформацію начальника 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відділу освіти, культури, туризму, молоді, спорту та охорони здоров’я виконавчого комітету Степанківської сільської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ради, за погодженням постійно діючих профільних депутатських комісій, </w:t>
      </w:r>
      <w:r w:rsidR="00142EFF" w:rsidRPr="009C5874">
        <w:rPr>
          <w:rFonts w:ascii="Times New Roman" w:hAnsi="Times New Roman"/>
          <w:sz w:val="28"/>
          <w:szCs w:val="28"/>
          <w:lang w:val="uk-UA"/>
        </w:rPr>
        <w:t>сесі</w:t>
      </w:r>
      <w:r w:rsidR="0071429C">
        <w:rPr>
          <w:rFonts w:ascii="Times New Roman" w:hAnsi="Times New Roman"/>
          <w:sz w:val="28"/>
          <w:szCs w:val="28"/>
          <w:lang w:val="uk-UA"/>
        </w:rPr>
        <w:t>я Степанківської сільської ради</w:t>
      </w:r>
    </w:p>
    <w:p w:rsidR="00142EFF" w:rsidRDefault="00142EFF" w:rsidP="00142E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2EFF" w:rsidRPr="003D0AC4" w:rsidRDefault="00142EFF" w:rsidP="00142EF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AC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15144" w:rsidRDefault="00815144" w:rsidP="00142EFF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Взяти до відома інформацію про виконання </w:t>
      </w:r>
      <w:r w:rsidR="00BF7E1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 «</w:t>
      </w:r>
      <w:r w:rsidR="0013151C">
        <w:rPr>
          <w:sz w:val="28"/>
          <w:szCs w:val="28"/>
          <w:lang w:val="uk-UA"/>
        </w:rPr>
        <w:t>Правова освіта населення</w:t>
      </w:r>
      <w:r>
        <w:rPr>
          <w:sz w:val="28"/>
          <w:szCs w:val="28"/>
          <w:lang w:val="uk-UA"/>
        </w:rPr>
        <w:t>»</w:t>
      </w:r>
      <w:r w:rsidR="009C5874">
        <w:rPr>
          <w:sz w:val="28"/>
          <w:szCs w:val="28"/>
          <w:lang w:val="uk-UA"/>
        </w:rPr>
        <w:t xml:space="preserve"> на 2021 рік, згідно </w:t>
      </w:r>
      <w:r w:rsidR="00BF7E1B">
        <w:rPr>
          <w:sz w:val="28"/>
          <w:szCs w:val="28"/>
          <w:lang w:val="uk-UA"/>
        </w:rPr>
        <w:t>д</w:t>
      </w:r>
      <w:r w:rsidR="009C5874">
        <w:rPr>
          <w:sz w:val="28"/>
          <w:szCs w:val="28"/>
          <w:lang w:val="uk-UA"/>
        </w:rPr>
        <w:t>одатку.</w:t>
      </w:r>
    </w:p>
    <w:p w:rsidR="00142EFF" w:rsidRDefault="00142EFF" w:rsidP="005B3F88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B2256B">
        <w:rPr>
          <w:sz w:val="28"/>
          <w:szCs w:val="28"/>
          <w:lang w:val="uk-UA"/>
        </w:rPr>
        <w:t>Контроль за виконанням даного рішення покласти на</w:t>
      </w:r>
      <w:r w:rsidR="00815144" w:rsidRPr="00B2256B">
        <w:rPr>
          <w:sz w:val="28"/>
          <w:szCs w:val="28"/>
          <w:lang w:val="uk-UA"/>
        </w:rPr>
        <w:t xml:space="preserve"> </w:t>
      </w:r>
      <w:r w:rsidR="00B2256B" w:rsidRPr="00B2256B">
        <w:rPr>
          <w:sz w:val="28"/>
          <w:szCs w:val="28"/>
          <w:lang w:val="uk-UA"/>
        </w:rPr>
        <w:t>постійно діючі</w:t>
      </w:r>
      <w:r w:rsidR="00BA53E9" w:rsidRPr="00B2256B">
        <w:rPr>
          <w:sz w:val="28"/>
          <w:szCs w:val="28"/>
          <w:lang w:val="uk-UA"/>
        </w:rPr>
        <w:t xml:space="preserve"> депутатськ</w:t>
      </w:r>
      <w:r w:rsidR="00B2256B" w:rsidRPr="00B2256B">
        <w:rPr>
          <w:sz w:val="28"/>
          <w:szCs w:val="28"/>
          <w:lang w:val="uk-UA"/>
        </w:rPr>
        <w:t>і комісії</w:t>
      </w:r>
      <w:r w:rsidR="00BA53E9" w:rsidRPr="00B2256B">
        <w:rPr>
          <w:sz w:val="28"/>
          <w:szCs w:val="28"/>
          <w:lang w:val="uk-UA"/>
        </w:rPr>
        <w:t xml:space="preserve"> з </w:t>
      </w:r>
      <w:r w:rsidR="00B2256B">
        <w:rPr>
          <w:sz w:val="28"/>
          <w:szCs w:val="28"/>
          <w:lang w:val="uk-UA"/>
        </w:rPr>
        <w:t xml:space="preserve">питань фінансів, бюджету, планування, соціально-економічного розвитку, інвестицій та міжнародного співробітництва та з </w:t>
      </w:r>
      <w:r w:rsidR="00BA53E9" w:rsidRPr="00B2256B">
        <w:rPr>
          <w:sz w:val="28"/>
          <w:szCs w:val="28"/>
          <w:lang w:val="uk-UA"/>
        </w:rPr>
        <w:t>гуманітарних питань, з питань прав людини, законності, депутатської діяльності, етики</w:t>
      </w:r>
      <w:r w:rsidR="0036550B" w:rsidRPr="00B2256B">
        <w:rPr>
          <w:sz w:val="28"/>
          <w:szCs w:val="28"/>
          <w:lang w:val="uk-UA"/>
        </w:rPr>
        <w:t xml:space="preserve">, </w:t>
      </w:r>
      <w:r w:rsidR="00BA53E9" w:rsidRPr="00B2256B">
        <w:rPr>
          <w:sz w:val="28"/>
          <w:szCs w:val="28"/>
          <w:lang w:val="uk-UA"/>
        </w:rPr>
        <w:t>регламенту та по</w:t>
      </w:r>
      <w:r w:rsidR="00B2256B">
        <w:rPr>
          <w:sz w:val="28"/>
          <w:szCs w:val="28"/>
          <w:lang w:val="uk-UA"/>
        </w:rPr>
        <w:t>передження конфлікту інтересів Степанківської сільської ради</w:t>
      </w:r>
    </w:p>
    <w:p w:rsidR="00B2256B" w:rsidRDefault="00B2256B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EFF" w:rsidRDefault="00142EFF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Сільський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7D4210" w:rsidRDefault="007D4210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bookmarkStart w:id="0" w:name="_GoBack"/>
      <w:bookmarkEnd w:id="0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Підготували: начальник відділу освіти,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культури, туризму,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молоді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,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спорту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та охорони здоров’я               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 Яна Кулик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_______________Анна </w:t>
      </w:r>
      <w:proofErr w:type="spellStart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Сінельнік</w:t>
      </w:r>
      <w:proofErr w:type="spellEnd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C8649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Голова /або представник/ профільної к</w:t>
      </w:r>
      <w:r w:rsidR="00ED4EF0">
        <w:rPr>
          <w:rFonts w:ascii="Times New Roman" w:eastAsia="Calibri" w:hAnsi="Times New Roman"/>
          <w:sz w:val="24"/>
          <w:szCs w:val="24"/>
          <w:lang w:val="uk-UA" w:eastAsia="uk-UA"/>
        </w:rPr>
        <w:t xml:space="preserve">омісії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____________________________</w:t>
      </w:r>
    </w:p>
    <w:p w:rsidR="00965CFF" w:rsidRDefault="00C8649F" w:rsidP="00C8649F">
      <w:pPr>
        <w:tabs>
          <w:tab w:val="left" w:pos="3120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sz w:val="24"/>
          <w:szCs w:val="24"/>
          <w:lang w:val="uk-UA" w:eastAsia="uk-UA"/>
        </w:rPr>
        <w:tab/>
      </w:r>
    </w:p>
    <w:p w:rsidR="00C8649F" w:rsidRDefault="00C8649F" w:rsidP="00C8649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C8649F" w:rsidRDefault="00C8649F" w:rsidP="00C8649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сесії Степанківської сільської ради</w:t>
      </w:r>
    </w:p>
    <w:p w:rsidR="00C8649F" w:rsidRDefault="00C8649F" w:rsidP="00C8649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00.11.2021 №17-00/</w:t>
      </w:r>
      <w:r>
        <w:rPr>
          <w:rFonts w:ascii="Times New Roman" w:hAnsi="Times New Roman"/>
          <w:sz w:val="24"/>
          <w:szCs w:val="24"/>
          <w:lang w:val="en-US"/>
        </w:rPr>
        <w:t>VIII</w:t>
      </w:r>
    </w:p>
    <w:p w:rsidR="00C8649F" w:rsidRPr="006F72A4" w:rsidRDefault="00C8649F" w:rsidP="00C8649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51"/>
        <w:gridCol w:w="443"/>
        <w:gridCol w:w="1276"/>
        <w:gridCol w:w="1276"/>
        <w:gridCol w:w="1559"/>
        <w:gridCol w:w="1418"/>
        <w:gridCol w:w="1666"/>
      </w:tblGrid>
      <w:tr w:rsidR="00C8649F" w:rsidRPr="006F72A4" w:rsidTr="00FF6172">
        <w:trPr>
          <w:trHeight w:val="112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Інформаційний лист </w:t>
            </w:r>
          </w:p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про виконання програми</w:t>
            </w:r>
          </w:p>
          <w:p w:rsidR="00C8649F" w:rsidRPr="006F72A4" w:rsidRDefault="00C8649F" w:rsidP="00FF6172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«Правова освіта населення» на  2021 рік</w:t>
            </w:r>
          </w:p>
        </w:tc>
      </w:tr>
      <w:tr w:rsidR="00C8649F" w:rsidRPr="006F72A4" w:rsidTr="00FF6172">
        <w:trPr>
          <w:trHeight w:val="72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Виконавець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7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Виконавчий комітет Степанківської сільської ради</w:t>
            </w:r>
          </w:p>
        </w:tc>
      </w:tr>
      <w:tr w:rsidR="00C8649F" w:rsidRPr="006F72A4" w:rsidTr="00FF6172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Мета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7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творення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належних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умов для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підвищення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загального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рівня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правової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культури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вдосконалення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системи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правової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освіти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населення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72A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громади</w:t>
            </w:r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набуття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громадянами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необхідного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рівня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правових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знань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знання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своїх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 та свобод і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механізмів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їх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eastAsia="ar-SA"/>
              </w:rPr>
              <w:t>захисту</w:t>
            </w:r>
            <w:proofErr w:type="spellEnd"/>
          </w:p>
        </w:tc>
      </w:tr>
      <w:tr w:rsidR="00C8649F" w:rsidRPr="006F72A4" w:rsidTr="00FF6172">
        <w:trPr>
          <w:trHeight w:val="61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Результати виконання</w:t>
            </w:r>
          </w:p>
        </w:tc>
      </w:tr>
      <w:tr w:rsidR="00C8649F" w:rsidRPr="006F72A4" w:rsidTr="00FF6172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Завдання</w:t>
            </w:r>
          </w:p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Реалізація</w:t>
            </w:r>
          </w:p>
        </w:tc>
      </w:tr>
      <w:tr w:rsidR="00C8649F" w:rsidRPr="006F72A4" w:rsidTr="00FF6172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частково (вказати, що)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C8649F" w:rsidRPr="006F72A4" w:rsidTr="00FF6172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Створення необхідних умов для населення для  набуття правових знань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Систематичний аналіз стану правової освіти населення та внесення пропозицій щодо його вдосконалення.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Проведення навчання державних службовців, посадових осіб місцевого самоврядування для поглиблення знань у галузі права.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52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Бюджет Степанківської сільської територіальне громади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Проведення заходів </w:t>
            </w:r>
            <w:proofErr w:type="spellStart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правовиховного</w:t>
            </w:r>
            <w:proofErr w:type="spellEnd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 характеру в </w:t>
            </w: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lastRenderedPageBreak/>
              <w:t>молодіжних аудиторіях та трудових колективах.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lastRenderedPageBreak/>
              <w:t xml:space="preserve">Налагодження співпраці з громадськими організаціями, об’єднаннями у сфері </w:t>
            </w:r>
            <w:proofErr w:type="spellStart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правоосвітньої</w:t>
            </w:r>
            <w:proofErr w:type="spellEnd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правовиховної</w:t>
            </w:r>
            <w:proofErr w:type="spellEnd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Організація та проведення право-виховної роботи закладами освіти та культури в межах визначених повноважень.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outlineLvl w:val="0"/>
              <w:rPr>
                <w:rFonts w:ascii="Times New Roman" w:eastAsiaTheme="minorHAnsi" w:hAnsi="Times New Roman"/>
                <w:kern w:val="36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kern w:val="36"/>
                <w:sz w:val="24"/>
                <w:szCs w:val="24"/>
                <w:lang w:val="uk-UA" w:eastAsia="ru-RU"/>
              </w:rPr>
              <w:t xml:space="preserve">Моніторинг стану </w:t>
            </w:r>
            <w:proofErr w:type="spellStart"/>
            <w:r w:rsidRPr="006F72A4">
              <w:rPr>
                <w:rFonts w:ascii="Times New Roman" w:eastAsiaTheme="minorHAnsi" w:hAnsi="Times New Roman"/>
                <w:kern w:val="36"/>
                <w:sz w:val="24"/>
                <w:szCs w:val="24"/>
                <w:lang w:val="uk-UA" w:eastAsia="ru-RU"/>
              </w:rPr>
              <w:t>правоосвітньої</w:t>
            </w:r>
            <w:proofErr w:type="spellEnd"/>
            <w:r w:rsidRPr="006F72A4">
              <w:rPr>
                <w:rFonts w:ascii="Times New Roman" w:eastAsiaTheme="minorHAnsi" w:hAnsi="Times New Roman"/>
                <w:kern w:val="36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6F72A4">
              <w:rPr>
                <w:rFonts w:ascii="Times New Roman" w:eastAsiaTheme="minorHAnsi" w:hAnsi="Times New Roman"/>
                <w:kern w:val="36"/>
                <w:sz w:val="24"/>
                <w:szCs w:val="24"/>
                <w:lang w:val="uk-UA" w:eastAsia="ru-RU"/>
              </w:rPr>
              <w:t>правовиховної</w:t>
            </w:r>
            <w:proofErr w:type="spellEnd"/>
            <w:r w:rsidRPr="006F72A4">
              <w:rPr>
                <w:rFonts w:ascii="Times New Roman" w:eastAsiaTheme="minorHAnsi" w:hAnsi="Times New Roman"/>
                <w:kern w:val="36"/>
                <w:sz w:val="24"/>
                <w:szCs w:val="24"/>
                <w:lang w:val="uk-UA" w:eastAsia="ru-RU"/>
              </w:rPr>
              <w:t xml:space="preserve"> роботи у навчальних закладах громади.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outlineLvl w:val="0"/>
              <w:rPr>
                <w:rFonts w:ascii="Times New Roman" w:eastAsiaTheme="minorHAnsi" w:hAnsi="Times New Roman"/>
                <w:kern w:val="36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kern w:val="36"/>
                <w:sz w:val="24"/>
                <w:szCs w:val="24"/>
                <w:lang w:val="uk-UA" w:eastAsia="ru-RU"/>
              </w:rPr>
              <w:t>Забезпечення проведення   інфор</w:t>
            </w:r>
            <w:r>
              <w:rPr>
                <w:rFonts w:ascii="Times New Roman" w:eastAsiaTheme="minorHAnsi" w:hAnsi="Times New Roman"/>
                <w:kern w:val="36"/>
                <w:sz w:val="24"/>
                <w:szCs w:val="24"/>
                <w:lang w:val="uk-UA" w:eastAsia="ru-RU"/>
              </w:rPr>
              <w:t>маційно-роз’яснювальних семіна</w:t>
            </w:r>
            <w:r w:rsidRPr="006F72A4">
              <w:rPr>
                <w:rFonts w:ascii="Times New Roman" w:eastAsiaTheme="minorHAnsi" w:hAnsi="Times New Roman"/>
                <w:kern w:val="36"/>
                <w:sz w:val="24"/>
                <w:szCs w:val="24"/>
                <w:lang w:val="uk-UA" w:eastAsia="ru-RU"/>
              </w:rPr>
              <w:t>рів для педагогічних працівників навчальних закладів громади із залученням наукових працівників та фахівців-практиків.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 доступу громадян до джерел правової інформації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Висвітлення в засобах масової інформації в т. ч. в соціальних мережах актуальних правових питань.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Theme="minorHAnsi" w:eastAsiaTheme="minorHAnsi" w:hAnsiTheme="minorHAnsi" w:cstheme="minorBidi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Залучення фахівців у галузі права для </w:t>
            </w: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lastRenderedPageBreak/>
              <w:t xml:space="preserve">надання населенню громади консультацій з правових питань.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 не потребує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lastRenderedPageBreak/>
              <w:t xml:space="preserve">Надання безоплатної правової допомоги населенню в рамках роботи громадських </w:t>
            </w:r>
            <w:proofErr w:type="spellStart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приймалень</w:t>
            </w:r>
            <w:proofErr w:type="spellEnd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72A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Основні напрямки </w:t>
            </w:r>
            <w:proofErr w:type="spellStart"/>
            <w:r w:rsidRPr="006F72A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правоосвітньої</w:t>
            </w:r>
            <w:proofErr w:type="spellEnd"/>
            <w:r w:rsidRPr="006F72A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діяльності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Проведення тижнів правових знань з учнівською молоддю та іншими верствами населення (до дня Конституції, дня юриста, дня прав людини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Організація та проведення інноваційних </w:t>
            </w:r>
            <w:proofErr w:type="spellStart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правоосвітніх</w:t>
            </w:r>
            <w:proofErr w:type="spellEnd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 заходів на підприємствах, в установах, організаціях з метою підвищення правової освіти серед працюючого населення.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Проведення для здобувачів освіти конкурсу малюнків на тему «Я і мої права».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Організація роботи щодо правової освіти громадян у бібліотеках  шляхом проведення книжкових виставок, </w:t>
            </w:r>
            <w:proofErr w:type="spellStart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підбірок</w:t>
            </w:r>
            <w:proofErr w:type="spellEnd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 статей з правової тематики у періодичних виданнях, оглядів юридичної літератури, проведення інформаційних </w:t>
            </w: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lastRenderedPageBreak/>
              <w:t>хвилинок для читачів, інформування про нові видання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lastRenderedPageBreak/>
              <w:t>Проведення науково-практичних конференцій, форумів, семінарів, «круглих столів», конкурсів, вікторин, інтелектуальних ігор на правову тематику із залученням провідних експертів, фахівців, юристів.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Активізувати поширення педагогічного досвіду з метою використання  нових технологій навчання для підвищення ефективності уроків права та організації позакласної </w:t>
            </w:r>
            <w:proofErr w:type="spellStart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правовиховної</w:t>
            </w:r>
            <w:proofErr w:type="spellEnd"/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 роботи.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C8649F" w:rsidRPr="006F72A4" w:rsidTr="00FF61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outlineLvl w:val="0"/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Організовувати вивчення та поширення інформації про право та інституції Європейського союзу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F" w:rsidRPr="006F72A4" w:rsidRDefault="00C8649F" w:rsidP="00FF617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F72A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9F" w:rsidRPr="00202568" w:rsidRDefault="00C8649F" w:rsidP="00FF61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C8649F" w:rsidRPr="006F72A4" w:rsidRDefault="00C8649F" w:rsidP="00FF61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256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</w:tbl>
    <w:p w:rsidR="00C8649F" w:rsidRPr="00C0052D" w:rsidRDefault="00C8649F" w:rsidP="00C8649F">
      <w:pPr>
        <w:rPr>
          <w:rFonts w:ascii="Times New Roman" w:eastAsiaTheme="minorHAnsi" w:hAnsi="Times New Roman"/>
          <w:sz w:val="24"/>
          <w:szCs w:val="24"/>
          <w:lang w:val="uk-UA"/>
        </w:rPr>
      </w:pPr>
      <w:r w:rsidRPr="00C0052D">
        <w:rPr>
          <w:rFonts w:ascii="Times New Roman" w:eastAsiaTheme="minorHAnsi" w:hAnsi="Times New Roman"/>
          <w:sz w:val="24"/>
          <w:szCs w:val="24"/>
          <w:lang w:val="uk-UA"/>
        </w:rPr>
        <w:t>«___».11.2021 р.</w:t>
      </w:r>
    </w:p>
    <w:p w:rsidR="00C8649F" w:rsidRPr="00C0052D" w:rsidRDefault="00C8649F" w:rsidP="00C8649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0052D">
        <w:rPr>
          <w:rFonts w:ascii="Times New Roman" w:eastAsiaTheme="minorHAnsi" w:hAnsi="Times New Roman"/>
          <w:sz w:val="24"/>
          <w:szCs w:val="24"/>
          <w:lang w:val="uk-UA"/>
        </w:rPr>
        <w:t>Виконавець:    Яна КУЛИК   ______________</w:t>
      </w:r>
    </w:p>
    <w:p w:rsidR="00C8649F" w:rsidRDefault="00C8649F" w:rsidP="00C8649F">
      <w:pPr>
        <w:spacing w:after="0" w:line="240" w:lineRule="auto"/>
      </w:pPr>
      <w:r w:rsidRPr="00C0052D">
        <w:rPr>
          <w:rFonts w:ascii="Times New Roman" w:eastAsiaTheme="minorHAnsi" w:hAnsi="Times New Roman"/>
          <w:sz w:val="24"/>
          <w:szCs w:val="24"/>
          <w:lang w:val="uk-UA"/>
        </w:rPr>
        <w:t xml:space="preserve">                                                            підпис</w:t>
      </w:r>
    </w:p>
    <w:p w:rsidR="00C8649F" w:rsidRPr="00C8649F" w:rsidRDefault="00C8649F" w:rsidP="00C8649F">
      <w:pPr>
        <w:tabs>
          <w:tab w:val="left" w:pos="3120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</w:p>
    <w:sectPr w:rsidR="00C8649F" w:rsidRPr="00C8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68D"/>
    <w:multiLevelType w:val="hybridMultilevel"/>
    <w:tmpl w:val="07B60D7E"/>
    <w:lvl w:ilvl="0" w:tplc="F82EAC3A">
      <w:start w:val="7"/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29BE24B3"/>
    <w:multiLevelType w:val="hybridMultilevel"/>
    <w:tmpl w:val="266C540A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733F"/>
    <w:multiLevelType w:val="hybridMultilevel"/>
    <w:tmpl w:val="1BD89AF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79CA"/>
    <w:multiLevelType w:val="hybridMultilevel"/>
    <w:tmpl w:val="3632ADA2"/>
    <w:lvl w:ilvl="0" w:tplc="F82EAC3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97821"/>
    <w:multiLevelType w:val="hybridMultilevel"/>
    <w:tmpl w:val="B6C2CE9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50B0"/>
    <w:multiLevelType w:val="hybridMultilevel"/>
    <w:tmpl w:val="5A8ACE0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52969"/>
    <w:multiLevelType w:val="hybridMultilevel"/>
    <w:tmpl w:val="9A30AF8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7117F"/>
    <w:multiLevelType w:val="hybridMultilevel"/>
    <w:tmpl w:val="CD58228C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D14AE"/>
    <w:multiLevelType w:val="multilevel"/>
    <w:tmpl w:val="27A2D450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A1278E3"/>
    <w:multiLevelType w:val="hybridMultilevel"/>
    <w:tmpl w:val="00DC49A2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E4617"/>
    <w:multiLevelType w:val="hybridMultilevel"/>
    <w:tmpl w:val="6C0C929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0"/>
    <w:rsid w:val="00043AA9"/>
    <w:rsid w:val="000B4906"/>
    <w:rsid w:val="000F1CBC"/>
    <w:rsid w:val="0013151C"/>
    <w:rsid w:val="00131FA8"/>
    <w:rsid w:val="00142EFF"/>
    <w:rsid w:val="002309B7"/>
    <w:rsid w:val="0036550B"/>
    <w:rsid w:val="00410DB5"/>
    <w:rsid w:val="00451776"/>
    <w:rsid w:val="0046533E"/>
    <w:rsid w:val="00517865"/>
    <w:rsid w:val="00563740"/>
    <w:rsid w:val="005D2291"/>
    <w:rsid w:val="005D41DF"/>
    <w:rsid w:val="005F3C74"/>
    <w:rsid w:val="006622E7"/>
    <w:rsid w:val="006A7E45"/>
    <w:rsid w:val="006C1EE4"/>
    <w:rsid w:val="0071429C"/>
    <w:rsid w:val="007753A9"/>
    <w:rsid w:val="0077762A"/>
    <w:rsid w:val="007D4210"/>
    <w:rsid w:val="00815144"/>
    <w:rsid w:val="008B457F"/>
    <w:rsid w:val="0094262C"/>
    <w:rsid w:val="00945330"/>
    <w:rsid w:val="00965CFF"/>
    <w:rsid w:val="009B13ED"/>
    <w:rsid w:val="009C5874"/>
    <w:rsid w:val="00A30847"/>
    <w:rsid w:val="00A66253"/>
    <w:rsid w:val="00AA3D1E"/>
    <w:rsid w:val="00AD535F"/>
    <w:rsid w:val="00B2256B"/>
    <w:rsid w:val="00BA53E9"/>
    <w:rsid w:val="00BF7E1B"/>
    <w:rsid w:val="00C7340E"/>
    <w:rsid w:val="00C8649F"/>
    <w:rsid w:val="00D77C2D"/>
    <w:rsid w:val="00D828F0"/>
    <w:rsid w:val="00D87D30"/>
    <w:rsid w:val="00DB5409"/>
    <w:rsid w:val="00E32E7B"/>
    <w:rsid w:val="00E50A92"/>
    <w:rsid w:val="00E8057B"/>
    <w:rsid w:val="00E832E1"/>
    <w:rsid w:val="00ED4EF0"/>
    <w:rsid w:val="00F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DEC"/>
  <w15:chartTrackingRefBased/>
  <w15:docId w15:val="{34B45676-B80C-43DB-86C6-45DC95C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42E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nhideWhenUsed/>
    <w:rsid w:val="0014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2E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2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Без інтервалів"/>
    <w:rsid w:val="001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142EFF"/>
    <w:rPr>
      <w:b/>
      <w:bCs/>
    </w:rPr>
  </w:style>
  <w:style w:type="paragraph" w:styleId="a6">
    <w:name w:val="List Paragraph"/>
    <w:basedOn w:val="a"/>
    <w:uiPriority w:val="34"/>
    <w:qFormat/>
    <w:rsid w:val="00142EF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E9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C8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2021-11-09T09:43:00Z</cp:lastPrinted>
  <dcterms:created xsi:type="dcterms:W3CDTF">2021-07-29T09:59:00Z</dcterms:created>
  <dcterms:modified xsi:type="dcterms:W3CDTF">2021-11-12T08:16:00Z</dcterms:modified>
</cp:coreProperties>
</file>