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9B4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56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C78" w:rsidRDefault="009B4C78">
            <w:pPr>
              <w:pStyle w:val="EMPTYCELLSTYLE"/>
            </w:pPr>
          </w:p>
        </w:tc>
        <w:tc>
          <w:tcPr>
            <w:tcW w:w="3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0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56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C78" w:rsidRDefault="009B4C78">
            <w:pPr>
              <w:pStyle w:val="EMPTYCELLSTYLE"/>
            </w:pPr>
          </w:p>
        </w:tc>
        <w:tc>
          <w:tcPr>
            <w:tcW w:w="3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0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56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C78" w:rsidRDefault="009B4C78">
            <w:pPr>
              <w:pStyle w:val="EMPTYCELLSTYLE"/>
            </w:pPr>
          </w:p>
        </w:tc>
        <w:tc>
          <w:tcPr>
            <w:tcW w:w="3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0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C78" w:rsidRDefault="00343A8E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b/>
              </w:rPr>
              <w:t>0216060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t>6060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t xml:space="preserve">  0640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left="60"/>
              <w:jc w:val="both"/>
            </w:pPr>
            <w: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left="60"/>
            </w:pPr>
            <w:r>
              <w:t>Створення умов для ефективного та доступного медичного обслуговування для населення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r>
              <w:t>Забезпечення належної та безперебійної роботи об'єктів соціальної сфери підприємств, що передаються до комунальної власності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56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C78" w:rsidRDefault="009B4C78">
            <w:pPr>
              <w:pStyle w:val="EMPTYCELLSTYLE"/>
            </w:pPr>
          </w:p>
        </w:tc>
        <w:tc>
          <w:tcPr>
            <w:tcW w:w="3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0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56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4C78" w:rsidRDefault="009B4C78">
            <w:pPr>
              <w:pStyle w:val="EMPTYCELLSTYLE"/>
            </w:pPr>
          </w:p>
        </w:tc>
        <w:tc>
          <w:tcPr>
            <w:tcW w:w="3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02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8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467286,00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470406,00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-294499,46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-297619,46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«Утримання об'єктів соціальної сфери підприємств, що передаються до комунальної власності» та по відповідному напрямку за 2021 рік по загальному фонду бюджету  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4C78" w:rsidRDefault="009B4C7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44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становлять 172786,54 грн., що на 294499,46 грн. менше затверджених показників у паспорті бюджетної програми, виконання становить 36,98%. Відхилення касових показників від затверджених паспортом бюджетної програми пояснюється економією, яка склалась при зді</w:t>
            </w:r>
            <w:r>
              <w:rPr>
                <w:rFonts w:ascii="Arial" w:eastAsia="Arial" w:hAnsi="Arial" w:cs="Arial"/>
                <w:sz w:val="16"/>
              </w:rPr>
              <w:t>йсненні видатків та відшкодуванням частини використаних енергоносіїв, а саме відхилення від затверджених показників склалось за видатками по: КЕКВ 2240 «Оплата послуг (крім комунальних)» в сумі 3887,11 грн., КЕКВ 2273 «Оплата електроенергії» в сумі 138462,</w:t>
            </w:r>
            <w:r>
              <w:rPr>
                <w:rFonts w:ascii="Arial" w:eastAsia="Arial" w:hAnsi="Arial" w:cs="Arial"/>
                <w:sz w:val="16"/>
              </w:rPr>
              <w:t xml:space="preserve">51 грн., КЕКВ 2274 «Оплата природного газу» в сумі 152149,24 грн. 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467286,00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470406,00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-294499,46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-3120,00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-297619,46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44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"Підтримки діяльності закладів охорони здоров'я"</w:t>
            </w:r>
            <w:r>
              <w:rPr>
                <w:rFonts w:ascii="Arial" w:eastAsia="Arial" w:hAnsi="Arial" w:cs="Arial"/>
                <w:sz w:val="16"/>
              </w:rPr>
              <w:t xml:space="preserve">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467286,00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470406,00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-294499,46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8"/>
              </w:rPr>
              <w:t>-297619,46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9B4C78">
            <w:pPr>
              <w:ind w:left="60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467286,00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470406,00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-294499,46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-3120,00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right="60"/>
              <w:jc w:val="right"/>
            </w:pPr>
            <w:r>
              <w:rPr>
                <w:b/>
                <w:sz w:val="16"/>
              </w:rPr>
              <w:t>-297619,46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у розрізі видів об’єктів соціальної сфери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467286,00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470406,00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172786,54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-294499,46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-3120,00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-297619,46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 тим, що видатки здійснювались відповідно до наданих актів виконаних робіт, накладних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об’єктів соціальної сфери (у розрізі їх видів), які потребують підтримки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 на баланс сільської ради були передені об'єкти соціальної сфери від Тернівської ПМСД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об’єктів соціальної сфери (у розрізі їх видів), яким планується надання підтримки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 на баланс сільської ради були передені об'єкти соціальної сфери від Тернівської ПМСД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сума підтримки на 1 об’єкт соціальної сфери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155762,00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1040,00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156802,00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28797,76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28797,76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-126964,24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-1040,00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-128004,24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 середня сума   підтримки 1 об'єкта соціальї сфери розраховано до фактичних актів виконаних робіт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забезпечення витрат об’єктів соціальної сфери</w:t>
            </w:r>
            <w:r>
              <w:rPr>
                <w:rFonts w:ascii="Arial" w:eastAsia="Arial" w:hAnsi="Arial" w:cs="Arial"/>
                <w:sz w:val="14"/>
              </w:rPr>
              <w:t xml:space="preserve"> за рахунок коштів місцевого бюджету (у розрізі видів об’єктів соціальної сфери)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9B4C78">
            <w:pPr>
              <w:jc w:val="center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Відсоток кількості об’єктів соціальної сфери, яким планується надання підтримки, до кількості об’єктів соціальної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4C78" w:rsidRDefault="009B4C7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44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4C78" w:rsidRDefault="00343A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сфери, які її потребують</w:t>
            </w: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44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44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4C78" w:rsidRDefault="00343A8E">
            <w:r>
              <w:t>За бюджетною програмою «Утримання об'</w:t>
            </w:r>
            <w:r>
              <w:t>єктів соціальної сфери підприємств, що передаються до комунальної власності» у 2021 році забезпечено підтримку шести об’єктів соціальної сфери, а саме: Амбулаторії загальної практики сімейної медицини с. Степанки, Амбулаторії загальної практики сімейної ме</w:t>
            </w:r>
            <w:r>
              <w:t>дицини с. Хацьки, Фельдшерсько-акушерського пункту с. Бузуків, Фельдшерський пункт с. Голов'ятине, Фельдшерський пункт с. Малий Бузуків, Фельдшерський пункт с. Залевки.</w:t>
            </w:r>
            <w:r>
              <w:br/>
              <w:t>Відхилення показників, затверджених у паспорті бюджетної програми від фактичних результ</w:t>
            </w:r>
            <w:r>
              <w:t>ативних показників, досягнених за рахунок касових видатків, пояснюється економією, яка склалась при здійсненні видатків.</w:t>
            </w:r>
            <w:r>
              <w:br/>
              <w:t xml:space="preserve">Протягом 2021 року фінансові зобов’язання за бюджетною програмою виконані, кредиторська заборгованість за підсумками 2021 року (станом </w:t>
            </w:r>
            <w:r>
              <w:t>на 01.01.2022 року) відсутня.</w:t>
            </w:r>
            <w:r>
              <w:br/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C78" w:rsidRDefault="00343A8E">
            <w:r>
              <w:t>Виконання показників бюджетної програми «Утримання об'</w:t>
            </w:r>
            <w:r>
              <w:t>єктів соціальної сфери підприємств, що передаються до комунальної власності» у 2021 році забезпечило виконання основного завдання та мети програми, а саме - забезпечення належної та безперебійної роботи об'єктів соціальної сфери підприємств, що передаються</w:t>
            </w:r>
            <w:r>
              <w:t xml:space="preserve"> до комунальної власності та утримання об'єктів соціальної сфери підприємств, що передаються до комунальної власності.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r>
              <w:t xml:space="preserve"> Ігор ЧЕКАЛЕНКО</w:t>
            </w: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44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r>
              <w:t>Любов ШУЛЬГІНА</w:t>
            </w: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  <w:tr w:rsidR="009B4C7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7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44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78" w:rsidRDefault="00343A8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B4C78" w:rsidRDefault="009B4C78">
            <w:pPr>
              <w:pStyle w:val="EMPTYCELLSTYLE"/>
            </w:pPr>
          </w:p>
        </w:tc>
        <w:tc>
          <w:tcPr>
            <w:tcW w:w="400" w:type="dxa"/>
          </w:tcPr>
          <w:p w:rsidR="009B4C78" w:rsidRDefault="009B4C78">
            <w:pPr>
              <w:pStyle w:val="EMPTYCELLSTYLE"/>
            </w:pPr>
          </w:p>
        </w:tc>
      </w:tr>
    </w:tbl>
    <w:p w:rsidR="00343A8E" w:rsidRDefault="00343A8E"/>
    <w:sectPr w:rsidR="00343A8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78"/>
    <w:rsid w:val="00343A8E"/>
    <w:rsid w:val="00380FBA"/>
    <w:rsid w:val="009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2022-02-21T09:18:00Z</dcterms:created>
  <dcterms:modified xsi:type="dcterms:W3CDTF">2022-02-21T09:18:00Z</dcterms:modified>
</cp:coreProperties>
</file>