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3BC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678EBC" wp14:editId="34DB85A9">
            <wp:extent cx="438150" cy="609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3BCE">
        <w:rPr>
          <w:rFonts w:ascii="Times New Roman" w:hAnsi="Times New Roman"/>
          <w:b/>
          <w:sz w:val="28"/>
          <w:szCs w:val="28"/>
          <w:lang w:eastAsia="en-US"/>
        </w:rPr>
        <w:t>СТЕПАНКІВСЬКА СІЛЬСЬКА РАДА</w:t>
      </w:r>
    </w:p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>ВИКОНАВЧИЙ КОМІТЕТ</w:t>
      </w:r>
    </w:p>
    <w:p w:rsidR="00BC3BCE" w:rsidRPr="00BC3BCE" w:rsidRDefault="00BC3BCE" w:rsidP="00BC3BC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BC3BCE" w:rsidRPr="00BC3BCE" w:rsidRDefault="00BC3BCE" w:rsidP="00BC3BC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</w:t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>РІШЕННЯ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>/ПРОЄКТ/</w:t>
      </w:r>
    </w:p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</w:p>
    <w:p w:rsidR="00BC3BCE" w:rsidRPr="00BC3BCE" w:rsidRDefault="00BC3BCE" w:rsidP="00BC3B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00.04.2022</w:t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</w:t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                                                        №00</w:t>
      </w:r>
    </w:p>
    <w:p w:rsidR="00BC3BCE" w:rsidRPr="00BC3BCE" w:rsidRDefault="00BC3BCE" w:rsidP="00BC3BCE">
      <w:pPr>
        <w:rPr>
          <w:rFonts w:ascii="Times New Roman" w:hAnsi="Times New Roman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>с.Степанки</w:t>
      </w:r>
    </w:p>
    <w:p w:rsidR="001E32B2" w:rsidRPr="0021648B" w:rsidRDefault="001E32B2" w:rsidP="00364D1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E5F57" w:rsidRDefault="008840F6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Про схвалення </w:t>
      </w:r>
      <w:r w:rsidR="003E5F57" w:rsidRPr="0021648B">
        <w:rPr>
          <w:rFonts w:ascii="Times New Roman" w:hAnsi="Times New Roman"/>
          <w:b/>
          <w:sz w:val="28"/>
          <w:szCs w:val="28"/>
          <w:lang w:val="uk-UA"/>
        </w:rPr>
        <w:t>звіту про виконання</w:t>
      </w:r>
    </w:p>
    <w:p w:rsidR="003E5F57" w:rsidRDefault="003E5F57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>бюджету Степа</w:t>
      </w:r>
      <w:bookmarkStart w:id="0" w:name="_GoBack"/>
      <w:bookmarkEnd w:id="0"/>
      <w:r w:rsidRPr="0021648B">
        <w:rPr>
          <w:rFonts w:ascii="Times New Roman" w:hAnsi="Times New Roman"/>
          <w:b/>
          <w:sz w:val="28"/>
          <w:szCs w:val="28"/>
          <w:lang w:val="uk-UA"/>
        </w:rPr>
        <w:t xml:space="preserve">нківської </w:t>
      </w:r>
      <w:r w:rsidR="00B72C22">
        <w:rPr>
          <w:rFonts w:ascii="Times New Roman" w:hAnsi="Times New Roman"/>
          <w:b/>
          <w:sz w:val="28"/>
          <w:szCs w:val="28"/>
          <w:lang w:val="uk-UA"/>
        </w:rPr>
        <w:t>сільської</w:t>
      </w:r>
    </w:p>
    <w:p w:rsidR="003E5F57" w:rsidRDefault="003E5F57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648B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B72C22">
        <w:rPr>
          <w:rFonts w:ascii="Times New Roman" w:hAnsi="Times New Roman"/>
          <w:b/>
          <w:sz w:val="28"/>
          <w:szCs w:val="28"/>
          <w:lang w:val="uk-UA"/>
        </w:rPr>
        <w:t>І квартал 2022 року</w:t>
      </w:r>
    </w:p>
    <w:p w:rsidR="00AE6614" w:rsidRDefault="00AE6614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E6614" w:rsidRPr="00AE6614" w:rsidRDefault="00AE6614" w:rsidP="00BC3B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E6614">
        <w:rPr>
          <w:rFonts w:ascii="Times New Roman" w:hAnsi="Times New Roman"/>
          <w:sz w:val="28"/>
          <w:szCs w:val="28"/>
          <w:lang w:val="uk-UA"/>
        </w:rPr>
        <w:t xml:space="preserve">Заслухавши звіт про виконання бюджету Степанківської </w:t>
      </w:r>
      <w:r w:rsidR="00B72C22">
        <w:rPr>
          <w:rFonts w:ascii="Times New Roman" w:hAnsi="Times New Roman"/>
          <w:sz w:val="28"/>
          <w:szCs w:val="28"/>
          <w:lang w:val="uk-UA"/>
        </w:rPr>
        <w:t>сільської</w:t>
      </w:r>
      <w:r w:rsidRPr="00AE6614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за </w:t>
      </w:r>
      <w:r w:rsidR="00B72C22">
        <w:rPr>
          <w:rFonts w:ascii="Times New Roman" w:hAnsi="Times New Roman"/>
          <w:sz w:val="28"/>
          <w:szCs w:val="28"/>
          <w:lang w:val="uk-UA"/>
        </w:rPr>
        <w:t xml:space="preserve">І квартал 2022 року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відмічено</w:t>
      </w:r>
      <w:proofErr w:type="spellEnd"/>
      <w:r w:rsidRPr="00AE6614">
        <w:rPr>
          <w:rFonts w:ascii="Times New Roman" w:hAnsi="Times New Roman"/>
          <w:sz w:val="28"/>
          <w:szCs w:val="28"/>
          <w:lang w:val="uk-UA"/>
        </w:rPr>
        <w:t xml:space="preserve">, що протягом </w:t>
      </w:r>
      <w:r w:rsidR="00B72C22">
        <w:rPr>
          <w:rFonts w:ascii="Times New Roman" w:hAnsi="Times New Roman"/>
          <w:sz w:val="28"/>
          <w:szCs w:val="28"/>
          <w:lang w:val="uk-UA"/>
        </w:rPr>
        <w:t>І кварталу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проведена</w:t>
      </w:r>
      <w:r w:rsidRPr="00AE6614">
        <w:rPr>
          <w:rFonts w:ascii="Times New Roman" w:hAnsi="Times New Roman"/>
          <w:sz w:val="28"/>
          <w:szCs w:val="28"/>
          <w:lang w:val="uk-UA"/>
        </w:rPr>
        <w:t xml:space="preserve"> відповідна робота по виконанню бюджету Степанківської </w:t>
      </w:r>
      <w:r w:rsidR="00B72C22">
        <w:rPr>
          <w:rFonts w:ascii="Times New Roman" w:hAnsi="Times New Roman"/>
          <w:sz w:val="28"/>
          <w:szCs w:val="28"/>
          <w:lang w:val="uk-UA"/>
        </w:rPr>
        <w:t>сільської</w:t>
      </w:r>
      <w:r w:rsidRPr="00AE6614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громади.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За І квартал 2022 року до бюджету Степанківської сільської </w:t>
      </w:r>
      <w:proofErr w:type="spellStart"/>
      <w:r w:rsidRPr="00B72C22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громади </w:t>
      </w:r>
      <w:proofErr w:type="spellStart"/>
      <w:r w:rsidRPr="00B72C22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72C22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трансфери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) 22002411,25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доходів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, з </w:t>
      </w:r>
      <w:proofErr w:type="gramStart"/>
      <w:r w:rsidRPr="00B72C22">
        <w:rPr>
          <w:rFonts w:ascii="Times New Roman" w:hAnsi="Times New Roman"/>
          <w:sz w:val="28"/>
          <w:szCs w:val="28"/>
        </w:rPr>
        <w:t>них:  до</w:t>
      </w:r>
      <w:proofErr w:type="gram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-  21557270,80грн, </w:t>
      </w:r>
      <w:proofErr w:type="spellStart"/>
      <w:r w:rsidRPr="00B72C22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– 445140,45грн. 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B72C22">
        <w:rPr>
          <w:rFonts w:ascii="Times New Roman" w:hAnsi="Times New Roman"/>
          <w:sz w:val="28"/>
          <w:szCs w:val="28"/>
        </w:rPr>
        <w:t>складі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доходів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бюджету сільської </w:t>
      </w:r>
      <w:proofErr w:type="spellStart"/>
      <w:r w:rsidRPr="00B72C22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громади: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доходи </w:t>
      </w:r>
      <w:proofErr w:type="spellStart"/>
      <w:r w:rsidRPr="00B72C2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(без </w:t>
      </w:r>
      <w:proofErr w:type="spellStart"/>
      <w:r w:rsidRPr="00B72C22">
        <w:rPr>
          <w:rFonts w:ascii="Times New Roman" w:hAnsi="Times New Roman"/>
          <w:sz w:val="28"/>
          <w:szCs w:val="28"/>
        </w:rPr>
        <w:t>міжбюджетних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трансферів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) – 15953808,80грн, </w:t>
      </w:r>
      <w:proofErr w:type="spellStart"/>
      <w:r w:rsidRPr="00B72C2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плану 149,97%;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доходи </w:t>
      </w:r>
      <w:proofErr w:type="spellStart"/>
      <w:r w:rsidRPr="00B72C22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(без </w:t>
      </w:r>
      <w:proofErr w:type="spellStart"/>
      <w:r w:rsidRPr="00B72C22">
        <w:rPr>
          <w:rFonts w:ascii="Times New Roman" w:hAnsi="Times New Roman"/>
          <w:sz w:val="28"/>
          <w:szCs w:val="28"/>
        </w:rPr>
        <w:t>міжбюджетних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трансферів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) – 445140,45грн, </w:t>
      </w:r>
      <w:proofErr w:type="spellStart"/>
      <w:r w:rsidRPr="00B72C2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плану 18,42%.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Видатки на </w:t>
      </w:r>
      <w:proofErr w:type="spellStart"/>
      <w:r w:rsidRPr="00B72C22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установ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громади та </w:t>
      </w:r>
      <w:proofErr w:type="spellStart"/>
      <w:r w:rsidRPr="00B72C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за І квартал 2022 року </w:t>
      </w:r>
      <w:proofErr w:type="spellStart"/>
      <w:r w:rsidRPr="00B72C22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всього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в сумі 16125907,95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B72C22">
        <w:rPr>
          <w:rFonts w:ascii="Times New Roman" w:hAnsi="Times New Roman"/>
          <w:sz w:val="28"/>
          <w:szCs w:val="28"/>
        </w:rPr>
        <w:t>числі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72C22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в сумі 15978744,44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або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66,28 %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B72C22">
        <w:rPr>
          <w:rFonts w:ascii="Times New Roman" w:hAnsi="Times New Roman"/>
          <w:sz w:val="28"/>
          <w:szCs w:val="28"/>
        </w:rPr>
        <w:t>звітну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дату та по </w:t>
      </w:r>
      <w:proofErr w:type="spellStart"/>
      <w:r w:rsidRPr="00B72C22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147163,51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або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4,65%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. 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По головному </w:t>
      </w:r>
      <w:proofErr w:type="spellStart"/>
      <w:r w:rsidRPr="00B72C22">
        <w:rPr>
          <w:rFonts w:ascii="Times New Roman" w:hAnsi="Times New Roman"/>
          <w:sz w:val="28"/>
          <w:szCs w:val="28"/>
        </w:rPr>
        <w:t>розпоряднику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комітет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Степанківської сільської ради </w:t>
      </w:r>
      <w:proofErr w:type="spellStart"/>
      <w:r w:rsidRPr="00B72C2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всього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в сумі 15987115,49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B72C22">
        <w:rPr>
          <w:rFonts w:ascii="Times New Roman" w:hAnsi="Times New Roman"/>
          <w:sz w:val="28"/>
          <w:szCs w:val="28"/>
        </w:rPr>
        <w:t>числі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72C22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в сумі 15839951,98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або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66,3%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B72C22">
        <w:rPr>
          <w:rFonts w:ascii="Times New Roman" w:hAnsi="Times New Roman"/>
          <w:sz w:val="28"/>
          <w:szCs w:val="28"/>
        </w:rPr>
        <w:t>звітну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дату та по </w:t>
      </w:r>
      <w:proofErr w:type="spellStart"/>
      <w:r w:rsidRPr="00B72C22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147163,51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або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4,65%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B72C22">
        <w:rPr>
          <w:rFonts w:ascii="Times New Roman" w:hAnsi="Times New Roman"/>
          <w:sz w:val="28"/>
          <w:szCs w:val="28"/>
        </w:rPr>
        <w:t>.</w:t>
      </w:r>
    </w:p>
    <w:p w:rsid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lastRenderedPageBreak/>
        <w:t xml:space="preserve">По головному </w:t>
      </w:r>
      <w:proofErr w:type="spellStart"/>
      <w:r w:rsidRPr="00B72C22">
        <w:rPr>
          <w:rFonts w:ascii="Times New Roman" w:hAnsi="Times New Roman"/>
          <w:sz w:val="28"/>
          <w:szCs w:val="28"/>
        </w:rPr>
        <w:t>розпоряднику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Фінансовий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відділ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Степанківської сільської ради </w:t>
      </w:r>
      <w:proofErr w:type="spellStart"/>
      <w:r w:rsidRPr="00B72C2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всього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в сумі 138792,46грн, в тому </w:t>
      </w:r>
      <w:proofErr w:type="spellStart"/>
      <w:r w:rsidRPr="00B72C22">
        <w:rPr>
          <w:rFonts w:ascii="Times New Roman" w:hAnsi="Times New Roman"/>
          <w:sz w:val="28"/>
          <w:szCs w:val="28"/>
        </w:rPr>
        <w:t>числі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72C22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фонду в сумі 138792,46 </w:t>
      </w:r>
      <w:proofErr w:type="spellStart"/>
      <w:r w:rsidRPr="00B72C22">
        <w:rPr>
          <w:rFonts w:ascii="Times New Roman" w:hAnsi="Times New Roman"/>
          <w:sz w:val="28"/>
          <w:szCs w:val="28"/>
        </w:rPr>
        <w:t>грн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C22">
        <w:rPr>
          <w:rFonts w:ascii="Times New Roman" w:hAnsi="Times New Roman"/>
          <w:sz w:val="28"/>
          <w:szCs w:val="28"/>
        </w:rPr>
        <w:t>або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63,57 % до </w:t>
      </w:r>
      <w:proofErr w:type="spellStart"/>
      <w:r w:rsidRPr="00B72C22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B72C22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B72C22">
        <w:rPr>
          <w:rFonts w:ascii="Times New Roman" w:hAnsi="Times New Roman"/>
          <w:sz w:val="28"/>
          <w:szCs w:val="28"/>
        </w:rPr>
        <w:t>звітну</w:t>
      </w:r>
      <w:proofErr w:type="spellEnd"/>
      <w:r w:rsidRPr="00B72C22">
        <w:rPr>
          <w:rFonts w:ascii="Times New Roman" w:hAnsi="Times New Roman"/>
          <w:sz w:val="28"/>
          <w:szCs w:val="28"/>
        </w:rPr>
        <w:t>.</w:t>
      </w:r>
    </w:p>
    <w:p w:rsidR="00AE6614" w:rsidRDefault="00AE6614" w:rsidP="00BC3BC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6614">
        <w:rPr>
          <w:rFonts w:ascii="Times New Roman" w:hAnsi="Times New Roman"/>
        </w:rPr>
        <w:t xml:space="preserve"> </w:t>
      </w:r>
      <w:r w:rsidRPr="00AE6614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AE6614">
        <w:rPr>
          <w:rFonts w:ascii="Times New Roman" w:hAnsi="Times New Roman"/>
          <w:sz w:val="28"/>
          <w:szCs w:val="28"/>
        </w:rPr>
        <w:t>статті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AE6614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AE661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E6614">
        <w:rPr>
          <w:rFonts w:ascii="Times New Roman" w:hAnsi="Times New Roman"/>
          <w:sz w:val="28"/>
          <w:szCs w:val="28"/>
        </w:rPr>
        <w:t>місцеве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61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E6614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E6614">
        <w:rPr>
          <w:rFonts w:ascii="Times New Roman" w:hAnsi="Times New Roman"/>
          <w:sz w:val="28"/>
          <w:szCs w:val="28"/>
        </w:rPr>
        <w:t>»,</w:t>
      </w:r>
      <w:r w:rsidRPr="00AE66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виконавчий комітет Степанківської сільської ради</w:t>
      </w:r>
    </w:p>
    <w:p w:rsidR="00AE6614" w:rsidRPr="00AE6614" w:rsidRDefault="00AE6614" w:rsidP="00BC3BC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61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6614">
        <w:rPr>
          <w:rFonts w:ascii="Times New Roman" w:hAnsi="Times New Roman"/>
          <w:b/>
          <w:color w:val="000000"/>
          <w:sz w:val="28"/>
          <w:szCs w:val="28"/>
        </w:rPr>
        <w:t>ВИРІШИ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AE6614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26"/>
      </w:tblGrid>
      <w:tr w:rsidR="00AE6614" w:rsidRPr="00AE6614" w:rsidTr="002D6414">
        <w:trPr>
          <w:tblCellSpacing w:w="18" w:type="dxa"/>
          <w:jc w:val="center"/>
        </w:trPr>
        <w:tc>
          <w:tcPr>
            <w:tcW w:w="4963" w:type="pct"/>
            <w:hideMark/>
          </w:tcPr>
          <w:p w:rsidR="00B72C22" w:rsidRPr="00B72C22" w:rsidRDefault="00AE6614" w:rsidP="00BC3BCE">
            <w:pPr>
              <w:numPr>
                <w:ilvl w:val="0"/>
                <w:numId w:val="1"/>
              </w:numPr>
              <w:tabs>
                <w:tab w:val="left" w:pos="873"/>
                <w:tab w:val="left" w:pos="102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Схвалити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52E99">
              <w:rPr>
                <w:rFonts w:ascii="Times New Roman" w:hAnsi="Times New Roman"/>
                <w:sz w:val="28"/>
                <w:szCs w:val="28"/>
                <w:lang w:val="uk-UA"/>
              </w:rPr>
              <w:t>та подати на затвердження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Степанківської сільської ради</w:t>
            </w:r>
            <w:r w:rsidRPr="00752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72C22" w:rsidRPr="00B72C22">
              <w:rPr>
                <w:rFonts w:ascii="Times New Roman" w:hAnsi="Times New Roman"/>
                <w:sz w:val="28"/>
                <w:szCs w:val="28"/>
                <w:lang w:val="uk-UA"/>
              </w:rPr>
              <w:t>звіт про виконання бюджету сільської територіальної громади за І квартал 2022 року (звіт додається):</w:t>
            </w:r>
          </w:p>
          <w:p w:rsidR="00B72C22" w:rsidRPr="00B72C22" w:rsidRDefault="00B72C22" w:rsidP="00BC3BCE">
            <w:pPr>
              <w:tabs>
                <w:tab w:val="left" w:pos="882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C22">
              <w:rPr>
                <w:rFonts w:ascii="Times New Roman" w:hAnsi="Times New Roman"/>
                <w:sz w:val="28"/>
                <w:szCs w:val="28"/>
                <w:lang w:val="uk-UA"/>
              </w:rPr>
              <w:t>по доходах загального фонду в сумі 21557270,80грн, по видатках – 15978744,44 грн;</w:t>
            </w:r>
          </w:p>
          <w:p w:rsidR="00AE6614" w:rsidRDefault="00B72C22" w:rsidP="00BC3BCE">
            <w:pPr>
              <w:tabs>
                <w:tab w:val="left" w:pos="882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C22">
              <w:rPr>
                <w:rFonts w:ascii="Times New Roman" w:hAnsi="Times New Roman"/>
                <w:sz w:val="28"/>
                <w:szCs w:val="28"/>
                <w:lang w:val="uk-UA"/>
              </w:rPr>
              <w:t>по доходах спеціального фонду 445140,45 грн, по видатках – 147163,51грн.</w:t>
            </w:r>
          </w:p>
          <w:p w:rsidR="00B72C22" w:rsidRPr="00B72C22" w:rsidRDefault="00B72C22" w:rsidP="00BC3BCE">
            <w:pPr>
              <w:tabs>
                <w:tab w:val="left" w:pos="882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614" w:rsidRDefault="00AE6614" w:rsidP="00BC3BCE">
            <w:pPr>
              <w:pStyle w:val="a6"/>
              <w:numPr>
                <w:ilvl w:val="0"/>
                <w:numId w:val="1"/>
              </w:numPr>
              <w:tabs>
                <w:tab w:val="left" w:pos="882"/>
                <w:tab w:val="left" w:pos="1024"/>
              </w:tabs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AE6614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AE6614">
              <w:rPr>
                <w:sz w:val="28"/>
                <w:szCs w:val="28"/>
              </w:rPr>
              <w:t>виконанням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даного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рішення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покласти</w:t>
            </w:r>
            <w:proofErr w:type="spellEnd"/>
            <w:r w:rsidRPr="00AE6614">
              <w:rPr>
                <w:sz w:val="28"/>
                <w:szCs w:val="28"/>
              </w:rPr>
              <w:t xml:space="preserve"> на </w:t>
            </w:r>
            <w:proofErr w:type="spellStart"/>
            <w:r w:rsidRPr="00AE6614">
              <w:rPr>
                <w:sz w:val="28"/>
                <w:szCs w:val="28"/>
              </w:rPr>
              <w:t>постійну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комісію</w:t>
            </w:r>
            <w:proofErr w:type="spellEnd"/>
            <w:r w:rsidRPr="00AE6614">
              <w:rPr>
                <w:sz w:val="28"/>
                <w:szCs w:val="28"/>
              </w:rPr>
              <w:t xml:space="preserve"> з </w:t>
            </w:r>
            <w:proofErr w:type="spellStart"/>
            <w:r w:rsidRPr="00AE6614">
              <w:rPr>
                <w:sz w:val="28"/>
                <w:szCs w:val="28"/>
              </w:rPr>
              <w:t>питань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фінансів</w:t>
            </w:r>
            <w:proofErr w:type="spellEnd"/>
            <w:r w:rsidRPr="00AE6614">
              <w:rPr>
                <w:sz w:val="28"/>
                <w:szCs w:val="28"/>
              </w:rPr>
              <w:t xml:space="preserve">, бюджету, </w:t>
            </w:r>
            <w:proofErr w:type="spellStart"/>
            <w:r w:rsidRPr="00AE6614">
              <w:rPr>
                <w:sz w:val="28"/>
                <w:szCs w:val="28"/>
              </w:rPr>
              <w:t>планування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соціально-економічного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розвитку</w:t>
            </w:r>
            <w:proofErr w:type="spellEnd"/>
            <w:r w:rsidRPr="00AE6614">
              <w:rPr>
                <w:sz w:val="28"/>
                <w:szCs w:val="28"/>
              </w:rPr>
              <w:t xml:space="preserve">, </w:t>
            </w:r>
            <w:proofErr w:type="spellStart"/>
            <w:r w:rsidRPr="00AE6614">
              <w:rPr>
                <w:sz w:val="28"/>
                <w:szCs w:val="28"/>
              </w:rPr>
              <w:t>інвестицій</w:t>
            </w:r>
            <w:proofErr w:type="spellEnd"/>
            <w:r w:rsidRPr="00AE6614">
              <w:rPr>
                <w:sz w:val="28"/>
                <w:szCs w:val="28"/>
              </w:rPr>
              <w:t xml:space="preserve"> та </w:t>
            </w:r>
            <w:proofErr w:type="spellStart"/>
            <w:r w:rsidRPr="00AE6614">
              <w:rPr>
                <w:sz w:val="28"/>
                <w:szCs w:val="28"/>
              </w:rPr>
              <w:t>міжнародного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співробітництва</w:t>
            </w:r>
            <w:proofErr w:type="spellEnd"/>
            <w:r w:rsidRPr="00AE6614">
              <w:rPr>
                <w:sz w:val="28"/>
                <w:szCs w:val="28"/>
              </w:rPr>
              <w:t>.</w:t>
            </w:r>
          </w:p>
          <w:p w:rsidR="009C5E92" w:rsidRPr="00AE6614" w:rsidRDefault="009C5E92" w:rsidP="00BC3BCE">
            <w:pPr>
              <w:pStyle w:val="a6"/>
              <w:tabs>
                <w:tab w:val="left" w:pos="882"/>
                <w:tab w:val="left" w:pos="102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E6614" w:rsidRPr="00AE6614" w:rsidRDefault="00AE6614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E6614" w:rsidRPr="009C5E92" w:rsidRDefault="009C5E92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</w:t>
            </w:r>
            <w:proofErr w:type="spellStart"/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>Сільський</w:t>
            </w:r>
            <w:proofErr w:type="spellEnd"/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 xml:space="preserve"> голова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Ігор ЧЕКАЛЕНКО</w:t>
            </w: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P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Додаток</w:t>
      </w:r>
    </w:p>
    <w:p w:rsidR="0021648B" w:rsidRDefault="00B72C22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 проє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кту рішення</w:t>
      </w:r>
    </w:p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:rsidR="0021648B" w:rsidRP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A1083">
        <w:rPr>
          <w:rFonts w:ascii="Times New Roman" w:hAnsi="Times New Roman"/>
          <w:sz w:val="28"/>
          <w:szCs w:val="28"/>
        </w:rPr>
        <w:t>№</w:t>
      </w:r>
      <w:r w:rsidRPr="00BA1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C22">
        <w:rPr>
          <w:rFonts w:ascii="Times New Roman" w:hAnsi="Times New Roman"/>
          <w:sz w:val="28"/>
          <w:szCs w:val="28"/>
          <w:lang w:val="uk-UA"/>
        </w:rPr>
        <w:t>00</w:t>
      </w:r>
      <w:r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  «</w:t>
      </w:r>
      <w:proofErr w:type="gramEnd"/>
      <w:r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_</w:t>
      </w:r>
      <w:r w:rsidR="00B72C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00</w:t>
      </w:r>
      <w:r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_»_</w:t>
      </w:r>
      <w:r w:rsidR="00B72C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квітня 2022</w:t>
      </w:r>
      <w:r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року</w:t>
      </w:r>
    </w:p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8E03B2" w:rsidRPr="008E03B2" w:rsidRDefault="008E03B2" w:rsidP="008E03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lang w:val="uk-UA" w:eastAsia="en-US"/>
        </w:rPr>
        <w:t>Звіт</w:t>
      </w:r>
    </w:p>
    <w:p w:rsidR="008E03B2" w:rsidRPr="008E03B2" w:rsidRDefault="008E03B2" w:rsidP="008E03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про виконання бюджету Степанківської сільської територіальної громади за І квартал 2022 року</w:t>
      </w:r>
    </w:p>
    <w:p w:rsidR="008E03B2" w:rsidRPr="008E03B2" w:rsidRDefault="008E03B2" w:rsidP="008E03B2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ДОХОДИ СТЕПАНКІВСЬКОЇ СІЛЬСЬКОЇ ТЕРИТОРІАЛЬНОЇ ГРОМАДИ ЗА І КВАРТАЛ 2022 РОКУ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 Загальний та спеціальний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Згідно аналізу виконання плану по доходах бюджету Степанківської сільської територіальної громади за І квартал 2022 року уточнені планові показники бюджету сільської територіальної громади на період по доходній частині становили в сумі 18657441,00 грн, в тому числі по загальному фонду – 16241064,00 грн, по спеціальному фонду – 2416377,00 грн. Фактично надійшло доходів за І квартал 2022 року всього в сумі 22002411,25 грн, в тому числі по загальному фонду – 21557270,80 грн, що становить 132,73% до уточненого плану враховуючи трансферти,  по спеціальному фонду – 445140,45 грн, що становить 18,42 % до уточненого плану.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1.1. Власні надходження,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Власні надходження бюджету Степанківської сільської територіальної громади по загальному та спеціальному фондах, без врахування трансфертів, за І квартал 2022 року разом склали 16398949,25 грн, виконання власних надходжень по фондах в цілому становить 125,62% (відносно уточнених планових показників по фондах в цілому, що склали 13054686,00 грн). Питома вага фактичних власних надходжень у бюджеті по обох фондах за І квартал 2022році склала 74,53%.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1.2. Міжбюджетні трансферти,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Міжбюджетні трансферти бюджету Степанківської сільської територіальної громади по загальному та спеціальному фондах за І квартал 2022року склали 5603462 грн, виконання по міжбюджетних трансфертах по фондах в цілому за І квартал 2022 року відносно уточнених планових показників (план на період – 5602755,00 грн) становить 100 %. Питома вага фактично отриманих  міжбюджетних трансфертів за І квартал 2022 року у бюджеті по обох фондах в цілому склала 25,47 %.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>ЗА І КВАРТАЛ 2022 РОКУ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4E6C85AC" wp14:editId="3450FCCA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 Загальний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За І квартал 2022 року до загального фонду бюджету територіальної громади надійшло доходів всього в сумі 21557270,80 грн, в тому числі: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власні надходження в сумі 15953808,80 грн, виконання відносно уточненого плану 149,97% (уточнений план на період становив 10638309 грн, перевиконання по власних надходженнях загального фонду склалось у сумі 5315499,80грн); питома вага фактичних власних надходжень у надходженнях загального фонду становить 74,0%, порівняно з надходженнями за І квартал 2021 року власні надходження загального фонду збільшились на 7683742 грн, або ж на 92,91%;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міжбюджетні трансферти в сумі 5603462,00 грн, виконання відносно уточненого плану 100% (уточнений план на період становив 5602755 грн), питома вага у надходженнях загального фонду 26%, порівняно з надходженнями за І квартал 2021 року міжбюджетні трансферти загального фонду збільшились на 1262218 грн, або ж на 29,08%.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>НАДХОДЖЕННЯ ЗАГАЛЬНОГО ФОНДУ БЮДЖЕТУ СТЕПАНКІВСЬКОЇ СІЛЬСЬКОЇ ТЕРИТОРІАЛЬНОЇ ГРОМАДИ  ЗА І КВАРТАЛ ЗА РОКАМИ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8E03B2" w:rsidRPr="008E03B2" w:rsidTr="00584252"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Власні надходження</w:t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Міжбюджетні трансферти</w:t>
            </w:r>
          </w:p>
        </w:tc>
      </w:tr>
      <w:tr w:rsidR="008E03B2" w:rsidRPr="008E03B2" w:rsidTr="00584252">
        <w:trPr>
          <w:trHeight w:val="1499"/>
        </w:trPr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1FE9B0A" wp14:editId="3F8E9750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</w:rPr>
              <w:drawing>
                <wp:inline distT="0" distB="0" distL="0" distR="0" wp14:anchorId="5C4FB93E" wp14:editId="79826FEA">
                  <wp:extent cx="2847975" cy="178117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2.1. Власні та закріплені надходження загального фонду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І квартал 2022 року до загального фонду бюджету Степанківської сільської  територіальної громади надійшло власних та закріплених надходжень всього в сумі 15953808,80 грн, виконання становить 149,97%. Фактично отримані до бюджету власні та закріплені надходження за І квартал 2022 року включають:</w:t>
      </w:r>
    </w:p>
    <w:tbl>
      <w:tblPr>
        <w:tblW w:w="9171" w:type="dxa"/>
        <w:tblInd w:w="113" w:type="dxa"/>
        <w:tblLook w:val="04A0" w:firstRow="1" w:lastRow="0" w:firstColumn="1" w:lastColumn="0" w:noHBand="0" w:noVBand="1"/>
      </w:tblPr>
      <w:tblGrid>
        <w:gridCol w:w="1016"/>
        <w:gridCol w:w="2410"/>
        <w:gridCol w:w="1202"/>
        <w:gridCol w:w="1068"/>
        <w:gridCol w:w="1171"/>
        <w:gridCol w:w="1212"/>
        <w:gridCol w:w="1092"/>
      </w:tblGrid>
      <w:tr w:rsidR="008E03B2" w:rsidRPr="008E03B2" w:rsidTr="00584252">
        <w:trPr>
          <w:trHeight w:val="199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Уточнений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план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з початку року</w:t>
            </w:r>
          </w:p>
        </w:tc>
      </w:tr>
      <w:tr w:rsidR="008E03B2" w:rsidRPr="008E03B2" w:rsidTr="00584252">
        <w:trPr>
          <w:trHeight w:val="679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Уточнений план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Фактично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надійшло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(+/-)</w:t>
            </w: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відхилення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уточненого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плану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%</w:t>
            </w: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уточненого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плану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Податкові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46 581 770,00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10 580 508,00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15 863 754,43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5 283 246,43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149,93 %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на доходи,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прибуток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збільшення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ринкової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вартості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31 074 570,00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7 281 000,00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12 486 040,07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5 205 040,07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171,49 %</w:t>
            </w:r>
          </w:p>
        </w:tc>
      </w:tr>
      <w:tr w:rsidR="008E03B2" w:rsidRPr="008E03B2" w:rsidTr="00584252">
        <w:trPr>
          <w:trHeight w:val="6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11010100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доходи фізичних осіб,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сплачується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податковими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агентами,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із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доходів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платника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податку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вигляді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заробітної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25 226 500,00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6 306 500,00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10 526 779,11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4 220 279,11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166,92 %</w:t>
            </w:r>
          </w:p>
        </w:tc>
      </w:tr>
      <w:tr w:rsidR="008E03B2" w:rsidRPr="008E03B2" w:rsidTr="00584252">
        <w:trPr>
          <w:trHeight w:val="9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11010200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доходи фізичних осіб з грошового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грошових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винагород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виплат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одержаних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військовослужбовцями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особами рядового і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начальницького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складу,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сплачується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податковими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агентами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1 549 142,71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799 142,71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206,55 %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11010400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доходи фізичних осіб,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сплачується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податковими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агентами,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із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доходів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платника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податку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ніж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заробітна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2 663 470,00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263 726,92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173 726,92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293,03 %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11010500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доходи фізичних осіб,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сплачується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фізичними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особами за результатами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річного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декларування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146 391,33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11 891,33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108,84 %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плата та плата за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природних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ресурсів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187 800,00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46 950,00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65 078,23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18 128,23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138,61 %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плата за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спеціальне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лісових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ресурсів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68 800,00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19 358,78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2 158,78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112,55 %</w:t>
            </w:r>
          </w:p>
        </w:tc>
      </w:tr>
      <w:tr w:rsidR="008E03B2" w:rsidRPr="008E03B2" w:rsidTr="0058425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13010100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плата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спеціальне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лісових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ресурсів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частині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деревини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заготовленої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порядку рубок головного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користування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2 675,00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-2 675,00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9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13010200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плата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спеціальне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лісових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ресурсів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крім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рентної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плати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спеціальне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лісових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ресурсів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частині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деревини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заготовленої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порядку рубок головного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користування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58 100,00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14 525,00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19 358,78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4 833,78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133,28 %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плата за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користування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надрами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загальнодержавного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значення</w:t>
            </w:r>
            <w:proofErr w:type="spellEnd"/>
          </w:p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29 750,00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45 719,45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15 969,45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153,68 %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13030100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Рентна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плата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користування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надрами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видобування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корисних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копалин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загальнодержавного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значення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119 000,00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29 750,00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45 719,45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15 969,45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153,68 %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14000000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Внутрішні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товари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послуги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3 289 000,00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230 500,00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705 918,85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475 418,85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306,26 %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14020000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Акцизний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податок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вироблених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Україні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підакцизних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товарів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продукції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98 974,87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98 974,87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14021900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Пальне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98 974,87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98 974,87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14030000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Акцизний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податок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ввезених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митну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територію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України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підакцизних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товарів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продукції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1 895 000,00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333 480,17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333 480,17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14031900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Пальне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1 895 000,00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333 480,17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333 480,17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Акцизний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податок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реалізації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суб’єктами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господарювання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роздрібної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торгівлі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підакцизних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товарів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230 500,00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273 463,81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42 963,81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118,64 %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Акцизний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податок з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реалізації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суб’єктами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роздрібної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торгівлі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підакцизних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товарів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230 500,00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273 463,81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42 963,81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118,64 %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Місцеві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збори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сплачуються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перераховуються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згідно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Податковим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кодексом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12 030 400,00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3 022 058,00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2 606 717,28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-415 340,72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86,26 %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18010000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Податок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майно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7 181 950,00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1 749 650,00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1 289 131,91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-460 518,09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73,68 %</w:t>
            </w:r>
          </w:p>
        </w:tc>
      </w:tr>
      <w:tr w:rsidR="008E03B2" w:rsidRPr="008E03B2" w:rsidTr="0058425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відмінне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ділянки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сплачений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юридичними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особами,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власниками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об`єктів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житлової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1 278,05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428,05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150,36 %</w:t>
            </w:r>
          </w:p>
        </w:tc>
      </w:tr>
      <w:tr w:rsidR="008E03B2" w:rsidRPr="008E03B2" w:rsidTr="00584252">
        <w:trPr>
          <w:trHeight w:val="6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відмінне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ділянки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сплачений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фізичними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особами,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власниками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об`єктів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житлової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7 350,00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208,10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208,10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6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відмінне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ділянки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сплачений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фізичними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особами,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власниками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об`єктів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нежитлової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-3 350,00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Податок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відмінне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ділянки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сплачений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юридичними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особами,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власниками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об`єктів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нежитлової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1 842 000,00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460 500,00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288 805,60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-171 694,40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62,72 %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Земельний податок з юридичних осіб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844 200,00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211 050,00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205 270,54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-5 779,46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97,26 %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Орендна плата з юридичних осіб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3 991 600,00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997 910,00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768 017,27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-229 892,73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76,96 %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Земельний податок з фізичних осіб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3 455,14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-2 544,86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57,59 %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18010900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Орендна плата з фізичних осіб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69 990,00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22 097,21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-47 892,79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31,57 %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18050000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Єдиний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податок 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4 848 450,00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1 272 408,00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1 317 585,37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45 177,37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103,55 %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18050300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Єдиний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податок з юридичних осіб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151 199,88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101 199,88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302,40 %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18050400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Єдиний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податок з фізичних осіб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3 442 550,00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860 638,00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867 333,85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6 695,85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100,78 %</w:t>
            </w:r>
          </w:p>
        </w:tc>
      </w:tr>
      <w:tr w:rsidR="008E03B2" w:rsidRPr="008E03B2" w:rsidTr="00584252">
        <w:trPr>
          <w:trHeight w:val="9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18050500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Єдиний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податок з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сільськогосподарських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товаровиробників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 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яких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частка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сільськогосподарського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товаровиробництва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попередній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податковий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звітний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рік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дорівнює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або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перевищує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75 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1 205 900,00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361 770,00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299 051,64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-62 718,36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82,66 %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Неподаткові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231 200,00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57 801,00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90 054,37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32 253,37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155,80 %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Доходи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власності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підприємницької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діяльності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232,03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232,03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21081100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Адміністративні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штрафи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санкції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232,03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232,03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22000000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Адміністративні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збори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платежі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доходи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некомерційної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господарської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діяльності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231 200,00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57 801,00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62 545,61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4 744,61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108,21 %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22010000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Плата за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адміністративних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57 642,44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5 142,44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109,80 %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22012500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Плата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надання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адміністративних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3 531,94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1 031,94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141,28 %</w:t>
            </w:r>
          </w:p>
        </w:tc>
      </w:tr>
      <w:tr w:rsidR="008E03B2" w:rsidRPr="008E03B2" w:rsidTr="0058425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22012600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Адміністративний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збір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державну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реєстрацію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речових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прав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нерухоме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їх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обтяжень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54 110,50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4 110,50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108,22 %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22080000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орендної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плати за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користування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цілісним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майновим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комплексом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іншим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державним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майном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4 797,58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-452,42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91,38 %</w:t>
            </w:r>
          </w:p>
        </w:tc>
      </w:tr>
      <w:tr w:rsidR="008E03B2" w:rsidRPr="008E03B2" w:rsidTr="0058425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22080400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орендної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плати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користування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майновим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комплексом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іншим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майном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перебуває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комунальній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власності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4 797,58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-452,42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91,38 %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22090000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Державне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мито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105,59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54,59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207,04 %</w:t>
            </w:r>
          </w:p>
        </w:tc>
      </w:tr>
      <w:tr w:rsidR="008E03B2" w:rsidRPr="008E03B2" w:rsidTr="0058425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22090100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Державне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мито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сплачується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місцем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розгляду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оформлення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документів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числі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оформлення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документів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спадщину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дарування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105,59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54,59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207,04 %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неподаткові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27 276,73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27 276,73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24060000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27 276,73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27 276,73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24060300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4 381,20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4 381,20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0,00 %</w:t>
            </w:r>
          </w:p>
        </w:tc>
      </w:tr>
    </w:tbl>
    <w:p w:rsidR="008E03B2" w:rsidRPr="008E03B2" w:rsidRDefault="008E03B2" w:rsidP="008E03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ВЛАСНИХ ТА ЗАКРІПЛЕНИХ НАДХОДЖЕНЬ ЗАГАЛЬНОГО ФОНДУ БЮДЖЕТУ СТЕПАНКІВСЬКОЇ СІЛЬСЬКОЇ ТЕРИТОРІАЛЬНОЇ ГРОМАДИ ЗА І КВАРТАЛ 2022 РОКУ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1C0C4F88" wp14:editId="1F53E10F">
            <wp:extent cx="5934075" cy="3048000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2.2. Міжбюджетні трансферти загального фонду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 І квартал 2022 року до загального фонду бюджету сільської територіальної громади надійшло міжбюджетних трансфертів всього в сумі 5603462 грн, при уточненому плані на період 5602755 грн виконання становить 100,01%, в тому числі: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6"/>
        <w:gridCol w:w="3340"/>
        <w:gridCol w:w="1163"/>
        <w:gridCol w:w="1068"/>
        <w:gridCol w:w="978"/>
        <w:gridCol w:w="1092"/>
        <w:gridCol w:w="1092"/>
      </w:tblGrid>
      <w:tr w:rsidR="008E03B2" w:rsidRPr="008E03B2" w:rsidTr="00584252">
        <w:trPr>
          <w:trHeight w:val="199"/>
        </w:trPr>
        <w:tc>
          <w:tcPr>
            <w:tcW w:w="760" w:type="dxa"/>
            <w:vMerge w:val="restart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3340" w:type="dxa"/>
            <w:vMerge w:val="restart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040" w:type="dxa"/>
            <w:vMerge w:val="restart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Уточнений річний план</w:t>
            </w:r>
          </w:p>
        </w:tc>
        <w:tc>
          <w:tcPr>
            <w:tcW w:w="3460" w:type="dxa"/>
            <w:gridSpan w:val="4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Виконання з початку року</w:t>
            </w:r>
          </w:p>
        </w:tc>
      </w:tr>
      <w:tr w:rsidR="008E03B2" w:rsidRPr="008E03B2" w:rsidTr="00584252">
        <w:trPr>
          <w:trHeight w:val="679"/>
        </w:trPr>
        <w:tc>
          <w:tcPr>
            <w:tcW w:w="760" w:type="dxa"/>
            <w:vMerge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340" w:type="dxa"/>
            <w:vMerge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40" w:type="dxa"/>
            <w:vMerge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Уточнений план на період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Фактично надійшло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(+/-)</w:t>
            </w: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br/>
              <w:t>відхилення до уточненого плану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%</w:t>
            </w:r>
            <w:r w:rsidRPr="008E03B2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br/>
              <w:t>виконання до уточненого плану</w:t>
            </w:r>
          </w:p>
        </w:tc>
      </w:tr>
      <w:tr w:rsidR="008E03B2" w:rsidRPr="008E03B2" w:rsidTr="00584252">
        <w:trPr>
          <w:trHeight w:val="259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40000000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Офіційні трансферти  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22 966 570,00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5 602 755,00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5 603 462,00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707,00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100,01 %</w:t>
            </w:r>
          </w:p>
        </w:tc>
      </w:tr>
      <w:tr w:rsidR="008E03B2" w:rsidRPr="008E03B2" w:rsidTr="00584252">
        <w:trPr>
          <w:trHeight w:val="259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41000000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Від органів державного управління  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22 966 570,00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5 602 755,00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5 603 462,00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707,00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100,01 %</w:t>
            </w:r>
          </w:p>
        </w:tc>
      </w:tr>
      <w:tr w:rsidR="008E03B2" w:rsidRPr="008E03B2" w:rsidTr="00584252">
        <w:trPr>
          <w:trHeight w:val="402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41020000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Дотації з державного бюджету місцевим бюджетам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1 325 100,00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331 200,00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331 200,00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259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41020100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Базова дотація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1 325 100,00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331 200,00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331 200,00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41030000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Субвенції з державного бюджету місцевим бюджетам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18 748 700,00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4 330 800,00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4 330 800,00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41033900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18 748 700,00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4 330 800,00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4 330 800,00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41040000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Дотації з місцевих бюджетів іншим місцевим бюджетам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389 700,00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187 131,00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187 131,00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1035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41040200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133 400,00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33 351,00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33 351,00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1620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41040500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додаткової дотації з державного бюджету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256 300,00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153 780,00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153 780,00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41050000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Субвенції з місцевих бюджетів іншим місцевим бюджетам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2 503 070,00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753 624,00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754 331,00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707,00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100,09 %</w:t>
            </w:r>
          </w:p>
        </w:tc>
      </w:tr>
      <w:tr w:rsidR="008E03B2" w:rsidRPr="008E03B2" w:rsidTr="00584252">
        <w:trPr>
          <w:trHeight w:val="825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41051200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75 847,00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12 880,00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11 280,00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-1 600,00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87,58 %</w:t>
            </w:r>
          </w:p>
        </w:tc>
      </w:tr>
      <w:tr w:rsidR="008E03B2" w:rsidRPr="008E03B2" w:rsidTr="00584252">
        <w:trPr>
          <w:trHeight w:val="285"/>
        </w:trPr>
        <w:tc>
          <w:tcPr>
            <w:tcW w:w="760" w:type="dxa"/>
            <w:hideMark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41053900</w:t>
            </w:r>
          </w:p>
        </w:tc>
        <w:tc>
          <w:tcPr>
            <w:tcW w:w="3340" w:type="dxa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Інші субвенції з місцевого бюджету</w:t>
            </w:r>
          </w:p>
        </w:tc>
        <w:tc>
          <w:tcPr>
            <w:tcW w:w="104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2 427 223,00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740 744,00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743 051,00</w:t>
            </w:r>
          </w:p>
        </w:tc>
        <w:tc>
          <w:tcPr>
            <w:tcW w:w="88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2 307,00</w:t>
            </w:r>
          </w:p>
        </w:tc>
        <w:tc>
          <w:tcPr>
            <w:tcW w:w="820" w:type="dxa"/>
            <w:hideMark/>
          </w:tcPr>
          <w:p w:rsidR="008E03B2" w:rsidRPr="008E03B2" w:rsidRDefault="008E03B2" w:rsidP="008E03B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</w:pPr>
            <w:r w:rsidRPr="008E03B2">
              <w:rPr>
                <w:rFonts w:ascii="Times New Roman" w:eastAsia="Times New Roman" w:hAnsi="Times New Roman"/>
                <w:bCs/>
                <w:sz w:val="16"/>
                <w:szCs w:val="16"/>
                <w:lang w:val="uk-UA"/>
              </w:rPr>
              <w:t>100,31 %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 Спеціальний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За І квартал 2022 року до спеціального фонду бюджету Степанківської сільської територіальної громади надійшло доходів всього в сумі 445140,45 грн, виконання становить 18,42% (відносно уточненого плану на період 2416377 грн, а в частині власних надходжень відносно річного плану), у тому числі: 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надходження без трансфертів становлять 445140,45 грн, виконання відносно уточненого плану 18,42%, питома вага у надходженнях спеціального фонду 100%, надходження порівняно з І кварталом 2021 року збільшились на 223834,62 грн, або ж на 101,14%.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 надходжень міжбюджетних трансфертів по спеціальному фонду за І квартал 2022 року не було та не планувалось.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3.1. Надходження спеціального фонду без врахування трансфертів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спеціального фонду за І квартал 2022 року складають 445140,45 грн, виконання відносно уточненого плану 18,42% (в частині власних надходжень відносно річного плану), питома вага власних надходжень у надходженнях спеціального фонду за І квартал 2022 року становить 100,0%, у тому числі: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податкові надходження за І квартал 2022 року складають 48444,22грн, виконання 105,89% відносно уточненого плану на період 45750,00 грн, перевиконання становить в сумі 2694,22 грн, в тому числі по надходженнях екологічного податку в сумі 48444,22 грн, питома вага податкових надходжень у фактичних надходженнях спеціального фонду становить 10,88%.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72"/>
      </w:tblGrid>
      <w:tr w:rsidR="008E03B2" w:rsidRPr="008E03B2" w:rsidTr="00584252"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EDCF51" wp14:editId="11375296">
                  <wp:extent cx="2847975" cy="149352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8E03B2" w:rsidP="008E03B2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8E03B2" w:rsidP="008E03B2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Порівняно з І кварталом 2021 року податкові надходження по спеціальному фонду зменшились на 184,63 грн, або ж на 0,4%.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неподаткові надходження за І квартал 2022 року становлять всього в сумі 395996,23 грн, виконання відносно уточненого річного плану 16,71%, в тому числі: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надходження від плати за послуги, що надаються бюджетними установами згідно з їх основною діяльністю за І квартал 2022 року становлять  228894,36 грн, питома вага у фактичних надходженнях спеціального фонду 51,42%, надходження порівняно з І кварталом 2021 року зросли на 57242,38 грн.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до цільових фондів за І квартал 2022 року склали 700,00 грн, виконання відносно уточненого плану на період складає 58,33%, питома вага фактичних надходжень до спеціального фонду становить 0,15%.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01"/>
      </w:tblGrid>
      <w:tr w:rsidR="008E03B2" w:rsidRPr="008E03B2" w:rsidTr="00584252">
        <w:trPr>
          <w:trHeight w:val="2628"/>
        </w:trPr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Фактичні надходження цільових фондів порівняно з І кварталом 2021 року збільшились на 200 грн, або ж на 40%, порівняно з І кварталом 2020 року збільшились на 150,40 грн, або ж на 21,5%.</w:t>
            </w:r>
          </w:p>
        </w:tc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267F739" wp14:editId="3983F80F">
                  <wp:extent cx="2847975" cy="1635125"/>
                  <wp:effectExtent l="0" t="0" r="0" b="317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НАДХОДЖЕНЬ ДО СПЕЦІАЛЬНОГО ФОНДУ БЮДЖЕТУ СТЕПАНКІВСЬКОЇ СІЛЬСЬКОЇ ТЕРИТОРІАЛЬНОЇ ГРОМАДИ ЗА І КВАРТАЛ 2022 РОКУ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6D033B0" wp14:editId="4C5BB16A">
            <wp:extent cx="5086350" cy="2828925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>4. Надходження до бюджету Степанківської сільської територіальної громади за І квартал 202</w:t>
      </w:r>
      <w:r w:rsidRPr="008E03B2">
        <w:rPr>
          <w:rFonts w:ascii="Times New Roman" w:eastAsia="Times New Roman" w:hAnsi="Times New Roman"/>
          <w:sz w:val="28"/>
          <w:szCs w:val="28"/>
          <w:u w:val="single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року в розрізі платників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Надходження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І кварталу 2022 року забезпечено суб’єктами господарювання, а зокрема:  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3B2" w:rsidRPr="008E03B2" w:rsidTr="00584252">
        <w:trPr>
          <w:trHeight w:val="19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НЕК "УКРЕНЕРГО"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ПП "ЦЕНТУРIЯ"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"ІНТЕРСТЕЛЛАР"</w:t>
            </w:r>
          </w:p>
        </w:tc>
      </w:tr>
      <w:tr w:rsidR="008E03B2" w:rsidRPr="008E03B2" w:rsidTr="00584252">
        <w:trPr>
          <w:trHeight w:val="27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"ЧЕРКАСИГАЗ"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"ГОЛОВ'ЯТИНСЬКЕ"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"ІДП"</w:t>
            </w:r>
          </w:p>
        </w:tc>
      </w:tr>
      <w:tr w:rsidR="008E03B2" w:rsidRPr="008E03B2" w:rsidTr="00584252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"СТЕПАНКИ"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"МАЛО-БУЗУКІВСЬКІЙ КАМІНЬ"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"ОПТІМУСАГРО ТРЕЙД"</w:t>
            </w:r>
          </w:p>
        </w:tc>
      </w:tr>
      <w:tr w:rsidR="008E03B2" w:rsidRPr="008E03B2" w:rsidTr="00584252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Виконком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Степанківської сільської ради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Залевківське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"АП "ВІДДІЛ КАДРІВ 2"</w:t>
            </w:r>
          </w:p>
        </w:tc>
      </w:tr>
      <w:tr w:rsidR="008E03B2" w:rsidRPr="008E03B2" w:rsidTr="00584252">
        <w:trPr>
          <w:trHeight w:val="27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"ЧЕРКАСИ-АВТО"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"КАБЕСТ"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"ВУД-ПРОМIНВЕСТ" </w:t>
            </w:r>
          </w:p>
        </w:tc>
      </w:tr>
      <w:tr w:rsidR="008E03B2" w:rsidRPr="008E03B2" w:rsidTr="00584252">
        <w:trPr>
          <w:trHeight w:val="427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"МАЛО-БУЗУКІВСЬКИЙ ГРАНІТНИЙ КАР'ЄР"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"АЛЬФА-ТРЕЙД"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"СІРІУС ПЛЮС 2020"</w:t>
            </w:r>
          </w:p>
        </w:tc>
      </w:tr>
      <w:tr w:rsidR="008E03B2" w:rsidRPr="008E03B2" w:rsidTr="00584252">
        <w:trPr>
          <w:trHeight w:val="40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"АВТОГАЗСЕРВIС"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"ІНФО КАР"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КЗ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"ЦНСП" Степанківської сільської ради</w:t>
            </w:r>
          </w:p>
        </w:tc>
      </w:tr>
      <w:tr w:rsidR="008E03B2" w:rsidRPr="008E03B2" w:rsidTr="00584252">
        <w:trPr>
          <w:trHeight w:val="411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"АВТОГАЗЦЕНТР"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ФГ "ПРОМIНЬ 2013 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КУ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"ЦПРПП"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Степанківської сільської ради</w:t>
            </w:r>
          </w:p>
        </w:tc>
      </w:tr>
      <w:tr w:rsidR="008E03B2" w:rsidRPr="008E03B2" w:rsidTr="00584252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"ЧЕРКАСИГАЗIНВЕСТ"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"ЗАЛЕВКИ""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"УКРЗАЛІЗНИЦЯ"</w:t>
            </w:r>
          </w:p>
        </w:tc>
      </w:tr>
      <w:tr w:rsidR="008E03B2" w:rsidRPr="008E03B2" w:rsidTr="00584252">
        <w:trPr>
          <w:trHeight w:val="410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ВКФ"Радикал-Ротанія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"ПЛЕСКАЧІВКА"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Фінансовий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відділ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Степанківської сільської ради</w:t>
            </w:r>
          </w:p>
        </w:tc>
      </w:tr>
      <w:tr w:rsidR="008E03B2" w:rsidRPr="008E03B2" w:rsidTr="00584252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"СМІЛЯНСЬКИЙ АГРОСОЮЗ"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"ГРОСДОРФ"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«IДПI»</w:t>
            </w:r>
          </w:p>
        </w:tc>
      </w:tr>
      <w:tr w:rsidR="008E03B2" w:rsidRPr="008E03B2" w:rsidTr="00584252">
        <w:trPr>
          <w:trHeight w:val="416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НВФ "УРОЖАЙ"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ЧЕРКАСЬКИЙ РАЙОННИЙ ЦЕНТР ПМСД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"ДЕЛIКАТ МIНI" </w:t>
            </w:r>
          </w:p>
        </w:tc>
      </w:tr>
      <w:tr w:rsidR="008E03B2" w:rsidRPr="008E03B2" w:rsidTr="00584252">
        <w:trPr>
          <w:trHeight w:val="41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 "ВІТОЛ"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КНП "Центр ПМСД"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Тернівської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"РЕАЛІЗАТОР-2021"</w:t>
            </w:r>
          </w:p>
        </w:tc>
      </w:tr>
      <w:tr w:rsidR="008E03B2" w:rsidRPr="008E03B2" w:rsidTr="00584252">
        <w:trPr>
          <w:trHeight w:val="42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lastRenderedPageBreak/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Національна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горілчана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компанія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 ПТАХОФАБРИКА "ПЕРШЕ ТРАВНЯ"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"ХАЦЬКИ-АГРО"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>, тощо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Структура сплати податків характеризувалась: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4B21E79" wp14:editId="70480888">
            <wp:extent cx="2892056" cy="3402330"/>
            <wp:effectExtent l="0" t="0" r="381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67C3DEC" wp14:editId="37604B98">
            <wp:extent cx="2892056" cy="3402330"/>
            <wp:effectExtent l="0" t="0" r="381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440DD4A" wp14:editId="477615E8">
            <wp:extent cx="2892056" cy="340233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8333DB3" wp14:editId="00D2BC65">
            <wp:extent cx="2892056" cy="3402330"/>
            <wp:effectExtent l="0" t="0" r="381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аграрного сектору, що здійснюють свою діяльність на території Степанківської сільської територіальної громади є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ПП «Хацьки-Агро», СТОВ «Степанки», Філія «Птахофабрика «Перше Травня» ПАТ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Агрохолдинг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Авангард», ТОВ «Нікопольська зернова компанія»,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Оптімусагро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Трейд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», СТОВ «Смілянський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агросоюз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Залевківське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Голов’ятинське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«Залевки», СТОВ «Агрофірма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Плескачівка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«Агропромислова компанія «Маїс», ТОВ «НВФ «Урожай».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Надходження від основних платників аграрного сектору за І квартал звітного року характеризуються:</w:t>
      </w:r>
    </w:p>
    <w:tbl>
      <w:tblPr>
        <w:tblStyle w:val="12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2824"/>
        <w:gridCol w:w="970"/>
        <w:gridCol w:w="885"/>
        <w:gridCol w:w="1134"/>
        <w:gridCol w:w="874"/>
        <w:gridCol w:w="968"/>
        <w:gridCol w:w="874"/>
        <w:gridCol w:w="921"/>
        <w:gridCol w:w="874"/>
      </w:tblGrid>
      <w:tr w:rsidR="008E03B2" w:rsidRPr="008E03B2" w:rsidTr="00584252">
        <w:trPr>
          <w:cantSplit/>
          <w:trHeight w:val="1562"/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970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ПП «Хацьки-</w:t>
            </w:r>
          </w:p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Агро»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</w:t>
            </w:r>
          </w:p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«Степанки»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Філія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«Птахофабрика «Перше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Травня»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«Нікопольська зернова компанія»</w:t>
            </w:r>
          </w:p>
        </w:tc>
        <w:tc>
          <w:tcPr>
            <w:tcW w:w="968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Оптімусагро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Трейд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«Смілянський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агросоюз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21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4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Голов'ятинське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1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«Агропромислова компанія «Маїс»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31414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559048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124546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223121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201046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58126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334691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61334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12416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172989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118"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115602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200246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56143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83503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214984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1502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13878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6082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104745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18998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21938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118376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220435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61334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єдиний податок з сільськогосподарських товаровиробників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139395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16875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800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12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адміністративний збір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3660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8944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469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промислового сектору, що здійснюють свою діяльність на території Степанківської сільської територіальної громади є ТОВ «Національна горілчана компанія»,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Інфо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Кар»,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Гросдорф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ПРАТ «Черкаси Авто», ПРАТ «Мало-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Бузуківський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гранітний кар’єр», ТОВ «Мало-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Бузуківський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камінь»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Надходження від основних платників промислового сектору за І квартал звітного року характеризуються:</w:t>
      </w:r>
    </w:p>
    <w:tbl>
      <w:tblPr>
        <w:tblStyle w:val="12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2824"/>
        <w:gridCol w:w="1146"/>
        <w:gridCol w:w="885"/>
        <w:gridCol w:w="1134"/>
        <w:gridCol w:w="957"/>
        <w:gridCol w:w="1276"/>
        <w:gridCol w:w="993"/>
      </w:tblGrid>
      <w:tr w:rsidR="008E03B2" w:rsidRPr="008E03B2" w:rsidTr="00584252">
        <w:trPr>
          <w:cantSplit/>
          <w:trHeight w:val="1562"/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114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«Національна горілчана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компанія»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Інфо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Кар»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Гросдорф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57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«Черкаси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Авто»</w:t>
            </w:r>
          </w:p>
        </w:tc>
        <w:tc>
          <w:tcPr>
            <w:tcW w:w="127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«Мало-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гранітний 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кар'єр»</w:t>
            </w:r>
          </w:p>
        </w:tc>
        <w:tc>
          <w:tcPr>
            <w:tcW w:w="993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«Мало-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камінь»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2298097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132388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4967517</w:t>
            </w: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293004</w:t>
            </w: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427937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24415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 та інших ніж заробітна плата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2232188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87810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129117</w:t>
            </w: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220460</w:t>
            </w:r>
          </w:p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276738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9399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(одноразові платежі)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4838400</w:t>
            </w: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28850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15925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72253</w:t>
            </w: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10395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28195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27926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95029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єдиний податок з юридичних осіб 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15016</w:t>
            </w: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lastRenderedPageBreak/>
              <w:t>екологічний податок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164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629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291</w:t>
            </w: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848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рентна плата за користування надрами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625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98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44927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8075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Також надходження за І квартал звітного року від інших платників характеризуються:</w:t>
      </w:r>
    </w:p>
    <w:tbl>
      <w:tblPr>
        <w:tblStyle w:val="12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134"/>
      </w:tblGrid>
      <w:tr w:rsidR="008E03B2" w:rsidRPr="008E03B2" w:rsidTr="00584252">
        <w:trPr>
          <w:cantSplit/>
          <w:trHeight w:val="1378"/>
        </w:trPr>
        <w:tc>
          <w:tcPr>
            <w:tcW w:w="666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1417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Виконавчий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комітет Степанківської сільської 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ради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В/ч  *</w:t>
            </w:r>
          </w:p>
        </w:tc>
      </w:tr>
      <w:tr w:rsidR="008E03B2" w:rsidRPr="008E03B2" w:rsidTr="00584252">
        <w:tc>
          <w:tcPr>
            <w:tcW w:w="6663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141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8E03B2">
              <w:rPr>
                <w:rFonts w:ascii="Times New Roman" w:eastAsia="Times New Roman" w:hAnsi="Times New Roman"/>
                <w:b/>
                <w:lang w:val="en-US"/>
              </w:rPr>
              <w:t>1071893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E03B2">
              <w:rPr>
                <w:rFonts w:ascii="Times New Roman" w:eastAsia="Times New Roman" w:hAnsi="Times New Roman"/>
                <w:b/>
                <w:lang w:val="uk-UA"/>
              </w:rPr>
              <w:t>1549143</w:t>
            </w:r>
          </w:p>
        </w:tc>
      </w:tr>
      <w:tr w:rsidR="008E03B2" w:rsidRPr="008E03B2" w:rsidTr="00584252">
        <w:tc>
          <w:tcPr>
            <w:tcW w:w="6663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 та інших ніж заробітна плата</w:t>
            </w:r>
          </w:p>
        </w:tc>
        <w:tc>
          <w:tcPr>
            <w:tcW w:w="141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E03B2">
              <w:rPr>
                <w:rFonts w:ascii="Times New Roman" w:eastAsia="Times New Roman" w:hAnsi="Times New Roman"/>
                <w:lang w:val="en-US"/>
              </w:rPr>
              <w:t>1069632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584252">
        <w:tc>
          <w:tcPr>
            <w:tcW w:w="6663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41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1549143</w:t>
            </w:r>
          </w:p>
        </w:tc>
      </w:tr>
      <w:tr w:rsidR="008E03B2" w:rsidRPr="008E03B2" w:rsidTr="00584252">
        <w:tc>
          <w:tcPr>
            <w:tcW w:w="6663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141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2261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Надходження від основних платників за І квартал звітного року та І квартал попередніх бюджетних періодів характеризуються: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E03B2" w:rsidRPr="008E03B2" w:rsidTr="00584252"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</w:rPr>
              <w:t>31414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зарахованими від платника за І квартал 202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</w:rPr>
              <w:t>362289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оскільки не здійснювались розрахунки за оренду земельних часток (паїв).</w:t>
            </w:r>
          </w:p>
        </w:tc>
        <w:tc>
          <w:tcPr>
            <w:tcW w:w="4961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F92234B" wp14:editId="1460BB5B">
                  <wp:extent cx="2889238" cy="1578634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82"/>
        <w:gridCol w:w="5065"/>
      </w:tblGrid>
      <w:tr w:rsidR="008E03B2" w:rsidRPr="008E03B2" w:rsidTr="00584252">
        <w:trPr>
          <w:trHeight w:val="2535"/>
        </w:trPr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559048грн, що порівняно з надходженнями зарахованими від платника за І квартал 2021 року менше на 5047грн.</w:t>
            </w:r>
          </w:p>
        </w:tc>
        <w:tc>
          <w:tcPr>
            <w:tcW w:w="4961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E005F7F" wp14:editId="4F5C6DA1">
                  <wp:extent cx="3079115" cy="1570007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ТОВ «ПЕРШЕ ТРАВНЯ КОМБІКОРМОВИЙ ЗАВОД» (виробництво готових кормів для тварин, що утримуються на фермах), Філія «Птахофабрика «Перше Травня»: 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062"/>
        <w:gridCol w:w="4544"/>
      </w:tblGrid>
      <w:tr w:rsidR="008E03B2" w:rsidRPr="008E03B2" w:rsidTr="00584252">
        <w:tc>
          <w:tcPr>
            <w:tcW w:w="506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від платника зараховані надходження до бюджету по фондах в цілому в сумі 124546грн, що порівняно з надходженнями зарахованими від платника за І квартал 2021 року менше на 83631грн, у зв’язку із створенням відокремленого підрозділу та скороченням сплати</w:t>
            </w:r>
            <w:r w:rsidRPr="008E03B2">
              <w:rPr>
                <w:lang w:val="uk-UA" w:eastAsia="en-US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ПДФО, що сплачується податковими агентами, із доходів платника податку у вигляді заробітної плати.</w:t>
            </w:r>
          </w:p>
        </w:tc>
        <w:tc>
          <w:tcPr>
            <w:tcW w:w="4544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7E69D98" wp14:editId="55389D78">
                  <wp:extent cx="2691130" cy="2027208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ТОВ «НІКОПОЛЬСЬКА ЗЕРНОВА КОМПАНІЯ»</w:t>
      </w:r>
      <w:r w:rsidRPr="008E03B2">
        <w:rPr>
          <w:rFonts w:ascii="Times New Roman" w:eastAsia="Times New Roman" w:hAnsi="Times New Roman"/>
          <w:color w:val="747474"/>
          <w:sz w:val="23"/>
          <w:szCs w:val="23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(оптова торгівля зерном, необробленим тютюном, насінням і кормами для тварин):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848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223121грн, що порівняно з надходженнями зарахованими від платника за І квартал 2021 року менше на 20752грн.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DE8D8" wp14:editId="62DAA805">
                  <wp:extent cx="2941416" cy="1423358"/>
                  <wp:effectExtent l="0" t="0" r="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038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201046грн, що порівняно з надходженнями зарахованими від платника за І квартал 2021 року більше на 24222грн.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96CA3E6" wp14:editId="57D8B7D2">
                  <wp:extent cx="3062281" cy="1397479"/>
                  <wp:effectExtent l="0" t="1905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СТОВ «СМІЛЯНСЬКИЙ АГРОСОЮЗ»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038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58126грн, що порівняно з надходженнями зарахованими від платника за І квартал 2021 року менше на 16314грн.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010EA80" wp14:editId="140109F8">
                  <wp:extent cx="3062281" cy="1406106"/>
                  <wp:effectExtent l="0" t="0" r="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«ГОЛОВ'ЯТИНСЬКЕ»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065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від платника зараховані надходження до бюджету по фондах в цілому в сумі 334691грн, що порівняно з надходженнями зарахованими від платника за І квартал 2021 року менше на 14098грн.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E81DEE" wp14:editId="11D0D4BB">
                  <wp:extent cx="3079534" cy="1406106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«АГРОПРОМИСЛОВА КОМПАНІЯ «МАЇС»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20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61334грн, що порівняно з надходженнями зарахованими від платника за І квартал 2021 року менше на 1222грн.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37DD64A" wp14:editId="5D928BE1">
                  <wp:extent cx="3114040" cy="1406106"/>
                  <wp:effectExtent l="0" t="0" r="0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«НАЦІОНАЛЬНА ГОРІЛЧАНА КОМПАНІЯ» (виробництво спиртних напоїв,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 платника зараховані надходження до бюджету по фондах в цілому в сумі 2298097грн, що порівняно з надходженнями зарахованими від платника за І квартал 2021 року більше на 1004841грн.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0D1D04" wp14:editId="441EF9F8">
                  <wp:extent cx="2785793" cy="1207699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«ІНФО КАР» (виробництво добрив і азотних 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сполук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09"/>
        <w:gridCol w:w="4862"/>
      </w:tblGrid>
      <w:tr w:rsidR="008E03B2" w:rsidRPr="008E03B2" w:rsidTr="00584252">
        <w:tc>
          <w:tcPr>
            <w:tcW w:w="4709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 платника зараховані надходження до бюджету по фондах в цілому в сумі 132388грн, що порівняно з надходженнями зарахованими від платника за І квартал 2021 року менше на 37388грн.</w:t>
            </w:r>
          </w:p>
        </w:tc>
        <w:tc>
          <w:tcPr>
            <w:tcW w:w="4862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3687EED" wp14:editId="0ADA3027">
                  <wp:extent cx="2950138" cy="1397480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«ГРОСДОРФ» (виробництво добрив і азотних 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сполук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>, виробництво пестицидів та іншої агрохімічної продукції):</w:t>
      </w:r>
    </w:p>
    <w:tbl>
      <w:tblPr>
        <w:tblStyle w:val="ad"/>
        <w:tblW w:w="9416" w:type="dxa"/>
        <w:tblLook w:val="04A0" w:firstRow="1" w:lastRow="0" w:firstColumn="1" w:lastColumn="0" w:noHBand="0" w:noVBand="1"/>
      </w:tblPr>
      <w:tblGrid>
        <w:gridCol w:w="4503"/>
        <w:gridCol w:w="4904"/>
        <w:gridCol w:w="9"/>
      </w:tblGrid>
      <w:tr w:rsidR="008E03B2" w:rsidRPr="008E03B2" w:rsidTr="00584252">
        <w:trPr>
          <w:gridAfter w:val="1"/>
          <w:wAfter w:w="9" w:type="dxa"/>
        </w:trPr>
        <w:tc>
          <w:tcPr>
            <w:tcW w:w="4503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 платника зараховані надходження до бюджету по фондах в цілому в сумі 129117грн, що порівняно з надходженнями зарахованими від платника за І квартал 2021 року більше на 57870грн.</w:t>
            </w:r>
          </w:p>
        </w:tc>
        <w:tc>
          <w:tcPr>
            <w:tcW w:w="4904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760AED" wp14:editId="1E8E203C">
                  <wp:extent cx="2977072" cy="1552755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8E03B2" w:rsidRPr="008E03B2" w:rsidTr="00584252">
        <w:tc>
          <w:tcPr>
            <w:tcW w:w="9416" w:type="dxa"/>
            <w:gridSpan w:val="3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Cs w:val="24"/>
                <w:lang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  <w:lang w:eastAsia="en-US"/>
              </w:rPr>
              <w:t>Також від платника були зараховані надходження - податок з доходiв найманих працiвникiв на  виплату премії за грудень 2021року (одноразовий платіж) в сумі 4838400 грн.</w:t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«ЧЕРКАСИ-АВТО»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93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293004грн, що порівняно з надходженнями зарахованими від платника за І квартал 2021 року більше на 30635грн.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D775445" wp14:editId="75E8B6ED">
                  <wp:extent cx="2907006" cy="1380226"/>
                  <wp:effectExtent l="0" t="0" r="0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«МАЛО-БУЗУКІВСЬКИЙ ГРАНІТНИЙ КАР'ЄР»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(добування піску, гравію, глин і каоліну,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052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427937грн, що порівняно з надходженнями зарахованими від платника за І квартал 2021 року більше на 136грн.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BBE9675" wp14:editId="599F0A27">
                  <wp:extent cx="3070860" cy="143192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«МАЛО-БУЗУКІВСЬКИЙ КАМІНЬ»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(оптова торгівля деревиною, будівельними матеріалами та санітарно-технічним обладнанням,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20"/>
      </w:tblGrid>
      <w:tr w:rsidR="008E03B2" w:rsidRPr="008E03B2" w:rsidTr="00584252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24415грн, що порівняно з надходженнями зарахованими від платника за І квартал 2021 року більше на 12115грн.</w:t>
            </w:r>
          </w:p>
        </w:tc>
        <w:tc>
          <w:tcPr>
            <w:tcW w:w="4786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555598D" wp14:editId="765958D3">
                  <wp:extent cx="3114040" cy="1406106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Виконавчий комітет Степанківської сільської ради 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8E03B2">
        <w:trPr>
          <w:trHeight w:val="2361"/>
        </w:trPr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 платника зараховані надходження до бюджету по фондах в цілому в сумі 1071893грн, що порівняно з надходженнями зарахованими від платника за І квартал 2021 року більше на 88154 грн.</w:t>
            </w:r>
          </w:p>
        </w:tc>
        <w:tc>
          <w:tcPr>
            <w:tcW w:w="5133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CB1985A" wp14:editId="242E9EB9">
                  <wp:extent cx="2804795" cy="1492370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Основні бюджетоутворюючі платники по надходженнях до бюджету Степанківської сільської територіальної громади за фондами в цілому за І квартал 2022 року забезпечили надходження всього в сумі 9736684 грн, що становить 61% від власних та закріплених доходів бюджету за фондами в цілому, в тому числі з них: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lastRenderedPageBreak/>
        <w:t>о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сновні сільськогосподарські підприємства забезпечили надходження в сумі 1593326 грн, що становить 10%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основні промислові підприємства забезпечили надходження в сумі 8143358грн, що становить 51%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цілому.</w:t>
      </w: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І квартал 2022 року в сумі 6217124,80 грн, що становить 39% від власних та закріплених доходів бюджету за фондами в цілому. </w:t>
      </w: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lang w:val="uk-UA" w:eastAsia="en-US"/>
        </w:rPr>
        <w:t>ВИДАТКИ ТА ЗАБОРГОВАНІСТЬ</w:t>
      </w:r>
    </w:p>
    <w:p w:rsidR="008E03B2" w:rsidRPr="008E03B2" w:rsidRDefault="008E03B2" w:rsidP="008E03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Видатки в цілому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Видатки  бюджету Степанківської сільської територіальної громади  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виконані в сумі 15978744,44 грн. Із загального фонду бюджету Степанківської сільської територіальної громади на утримання установ, фінансування програм та заходів спрямовано 14374611,44 грн, передано міжбюджетних трансферів іншим бюджетам – 16044133,00 грн.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фінансування закладів освіти використано – 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9368689,26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грн (</w:t>
      </w:r>
      <w:r w:rsidRPr="008E03B2">
        <w:rPr>
          <w:rFonts w:ascii="Times New Roman" w:hAnsi="Times New Roman"/>
          <w:sz w:val="28"/>
          <w:szCs w:val="28"/>
          <w:lang w:eastAsia="en-US"/>
        </w:rPr>
        <w:t>58,63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загального обсягу видатків), охорона здоров’я – 174974,96 грн (1,09%), соціального захисту та соціального забезпечення населення – 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339303,41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грн (2,</w:t>
      </w:r>
      <w:r w:rsidRPr="008E03B2">
        <w:rPr>
          <w:rFonts w:ascii="Times New Roman" w:hAnsi="Times New Roman"/>
          <w:sz w:val="28"/>
          <w:szCs w:val="28"/>
          <w:lang w:eastAsia="en-US"/>
        </w:rPr>
        <w:t>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%), культури та мистецтва – </w:t>
      </w:r>
      <w:r w:rsidRPr="008E03B2">
        <w:rPr>
          <w:rFonts w:ascii="Times New Roman" w:hAnsi="Times New Roman"/>
          <w:sz w:val="28"/>
          <w:szCs w:val="28"/>
          <w:lang w:eastAsia="en-US"/>
        </w:rPr>
        <w:t>678202,38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 грн (4,</w:t>
      </w:r>
      <w:r w:rsidRPr="008E03B2">
        <w:rPr>
          <w:rFonts w:ascii="Times New Roman" w:hAnsi="Times New Roman"/>
          <w:sz w:val="28"/>
          <w:szCs w:val="28"/>
          <w:lang w:eastAsia="en-US"/>
        </w:rPr>
        <w:t>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%), державне управління –  </w:t>
      </w:r>
      <w:r w:rsidRPr="008E03B2">
        <w:rPr>
          <w:rFonts w:ascii="Times New Roman" w:hAnsi="Times New Roman"/>
          <w:sz w:val="28"/>
          <w:szCs w:val="28"/>
          <w:lang w:eastAsia="en-US"/>
        </w:rPr>
        <w:t>2661430,81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 (1</w:t>
      </w:r>
      <w:r w:rsidRPr="008E03B2">
        <w:rPr>
          <w:rFonts w:ascii="Times New Roman" w:hAnsi="Times New Roman"/>
          <w:sz w:val="28"/>
          <w:szCs w:val="28"/>
          <w:lang w:eastAsia="en-US"/>
        </w:rPr>
        <w:t>6,7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%),  житлово-комунальне господарство – </w:t>
      </w:r>
      <w:r w:rsidRPr="008E03B2">
        <w:rPr>
          <w:rFonts w:ascii="Times New Roman" w:hAnsi="Times New Roman"/>
          <w:sz w:val="28"/>
          <w:szCs w:val="28"/>
          <w:lang w:eastAsia="en-US"/>
        </w:rPr>
        <w:t>639457,65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(</w:t>
      </w:r>
      <w:r w:rsidRPr="008E03B2">
        <w:rPr>
          <w:rFonts w:ascii="Times New Roman" w:hAnsi="Times New Roman"/>
          <w:sz w:val="28"/>
          <w:szCs w:val="28"/>
          <w:lang w:eastAsia="en-US"/>
        </w:rPr>
        <w:t>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%), захист населення і території від надзвичайних ситуацій техногенного та природного характеру (діяльність місцевої пожежної охорони) – </w:t>
      </w:r>
      <w:r w:rsidRPr="008E03B2">
        <w:rPr>
          <w:rFonts w:ascii="Times New Roman" w:hAnsi="Times New Roman"/>
          <w:sz w:val="28"/>
          <w:szCs w:val="28"/>
          <w:lang w:eastAsia="en-US"/>
        </w:rPr>
        <w:t>472652,97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 (2,9%),  інші видатки (з урахуванням міжбюджетних трансферів) – 1644033,00 грн.</w:t>
      </w:r>
      <w:r w:rsidRPr="008E03B2">
        <w:rPr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(10,29%). 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Детальний аналіз виконання плану по видатках загального фонду бюджету Степанківської сільської територіальної громади за І квартал 2022 року наводиться у додатку 5 до звіту про виконання бюджету Степанківської сільської територіальної громади за І квартал 2022 року.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>Видатки загального фонду бюджету за функціональною структурою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 xml:space="preserve"> за І квартал 202</w:t>
      </w:r>
      <w:r w:rsidRPr="008E03B2">
        <w:rPr>
          <w:rFonts w:ascii="Times New Roman" w:hAnsi="Times New Roman"/>
          <w:b/>
          <w:sz w:val="28"/>
          <w:szCs w:val="28"/>
          <w:u w:val="single"/>
          <w:lang w:eastAsia="en-US"/>
        </w:rPr>
        <w:t>2</w:t>
      </w:r>
      <w:r w:rsidRPr="008E03B2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 xml:space="preserve"> року, </w:t>
      </w:r>
      <w:proofErr w:type="spellStart"/>
      <w:r w:rsidRPr="008E03B2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>тис.грн</w:t>
      </w:r>
      <w:proofErr w:type="spellEnd"/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noProof/>
          <w:sz w:val="28"/>
          <w:szCs w:val="28"/>
        </w:rPr>
        <w:lastRenderedPageBreak/>
        <w:drawing>
          <wp:inline distT="0" distB="0" distL="0" distR="0" wp14:anchorId="2B8BD382" wp14:editId="2E3DF3D3">
            <wp:extent cx="6115050" cy="3609975"/>
            <wp:effectExtent l="0" t="0" r="1905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8E03B2">
        <w:rPr>
          <w:lang w:val="uk-UA" w:eastAsia="en-US"/>
        </w:rPr>
        <w:t xml:space="preserve"> </w:t>
      </w:r>
    </w:p>
    <w:p w:rsidR="008E03B2" w:rsidRPr="008E03B2" w:rsidRDefault="008E03B2" w:rsidP="008E0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Із спеціального фонду бюджету Степанківської </w:t>
      </w:r>
      <w:r w:rsidRPr="008E03B2">
        <w:rPr>
          <w:rFonts w:ascii="Times New Roman" w:hAnsi="Times New Roman"/>
          <w:sz w:val="28"/>
          <w:szCs w:val="28"/>
          <w:lang w:eastAsia="en-US"/>
        </w:rPr>
        <w:t>с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ільської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територіальної громади на утримання установ, фінансування програм та заходів спрямовано </w:t>
      </w:r>
      <w:r w:rsidRPr="008E03B2">
        <w:rPr>
          <w:rFonts w:ascii="Times New Roman" w:hAnsi="Times New Roman"/>
          <w:sz w:val="28"/>
          <w:szCs w:val="28"/>
          <w:lang w:eastAsia="en-US"/>
        </w:rPr>
        <w:t>314265,38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 На фінансування закладів освіти використано – </w:t>
      </w:r>
      <w:r w:rsidRPr="008E03B2">
        <w:rPr>
          <w:rFonts w:ascii="Times New Roman" w:hAnsi="Times New Roman"/>
          <w:sz w:val="28"/>
          <w:szCs w:val="28"/>
          <w:lang w:eastAsia="en-US"/>
        </w:rPr>
        <w:t>279467,73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(</w:t>
      </w:r>
      <w:r w:rsidRPr="008E03B2">
        <w:rPr>
          <w:rFonts w:ascii="Times New Roman" w:hAnsi="Times New Roman"/>
          <w:sz w:val="28"/>
          <w:szCs w:val="28"/>
          <w:lang w:eastAsia="en-US"/>
        </w:rPr>
        <w:t>89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загального обсягу видатків), 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культура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і мистецтво – </w:t>
      </w:r>
      <w:r w:rsidRPr="008E03B2">
        <w:rPr>
          <w:rFonts w:ascii="Times New Roman" w:hAnsi="Times New Roman"/>
          <w:sz w:val="28"/>
          <w:szCs w:val="28"/>
          <w:lang w:eastAsia="en-US"/>
        </w:rPr>
        <w:t>16797,65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(</w:t>
      </w:r>
      <w:r w:rsidRPr="008E03B2">
        <w:rPr>
          <w:rFonts w:ascii="Times New Roman" w:hAnsi="Times New Roman"/>
          <w:sz w:val="28"/>
          <w:szCs w:val="28"/>
          <w:lang w:eastAsia="en-US"/>
        </w:rPr>
        <w:t>5,3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%),  міжбюджетні трансферти – 18000,00 грн (</w:t>
      </w:r>
      <w:r w:rsidRPr="008E03B2">
        <w:rPr>
          <w:rFonts w:ascii="Times New Roman" w:hAnsi="Times New Roman"/>
          <w:sz w:val="28"/>
          <w:szCs w:val="28"/>
          <w:lang w:eastAsia="en-US"/>
        </w:rPr>
        <w:t>5,7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%).</w:t>
      </w:r>
    </w:p>
    <w:p w:rsidR="008E03B2" w:rsidRPr="008E03B2" w:rsidRDefault="008E03B2" w:rsidP="008E0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Детальний аналіз виконання плану по видатках спеціального фонду бюджету Степанківської сільської територіальної громади за І квартал 2022 року наводиться у додатку 6 до звіту про виконання бюджету Степанківської сільської територіальної громади за І квартал 2022 року.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lang w:val="uk-UA" w:eastAsia="en-US"/>
        </w:rPr>
        <w:t>Обсяг видатків загального та спеціального фондів бюджету громади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BFB813" wp14:editId="6B05833F">
            <wp:extent cx="5924550" cy="12954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u w:val="single"/>
          <w:lang w:val="uk-UA" w:eastAsia="en-US"/>
        </w:rPr>
        <w:t xml:space="preserve">Динаміка видатків загального фонду бюджету у розрізі основних галузей,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тис.грн</w:t>
      </w:r>
      <w:proofErr w:type="spellEnd"/>
    </w:p>
    <w:p w:rsidR="008E03B2" w:rsidRPr="008E03B2" w:rsidRDefault="008E03B2" w:rsidP="008E03B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</w:pPr>
    </w:p>
    <w:p w:rsidR="008E03B2" w:rsidRPr="008E03B2" w:rsidRDefault="008E03B2" w:rsidP="008E03B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noProof/>
          <w:sz w:val="24"/>
          <w:szCs w:val="20"/>
        </w:rPr>
        <w:lastRenderedPageBreak/>
        <w:drawing>
          <wp:inline distT="0" distB="0" distL="0" distR="0" wp14:anchorId="4D88F9A1" wp14:editId="1ADD6524">
            <wp:extent cx="5581650" cy="3924300"/>
            <wp:effectExtent l="0" t="0" r="0" b="0"/>
            <wp:docPr id="30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За економічною структурою видатки та утримання установ Степанківської </w:t>
      </w:r>
      <w:r w:rsidRPr="008E03B2">
        <w:rPr>
          <w:rFonts w:ascii="Times New Roman" w:hAnsi="Times New Roman"/>
          <w:sz w:val="28"/>
          <w:szCs w:val="28"/>
          <w:lang w:eastAsia="en-US"/>
        </w:rPr>
        <w:t>с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ільської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територіальної громади та фінансування програм, заходів характеризуються наступними показниками: 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видатки на заробітну плату з нарахуваннями – 1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1809451,58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або </w:t>
      </w:r>
      <w:r w:rsidRPr="008E03B2">
        <w:rPr>
          <w:rFonts w:ascii="Times New Roman" w:hAnsi="Times New Roman"/>
          <w:sz w:val="28"/>
          <w:szCs w:val="28"/>
          <w:lang w:eastAsia="en-US"/>
        </w:rPr>
        <w:t>73,9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%;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оплата комунальних послуг та енергоносіїв – </w:t>
      </w:r>
      <w:r w:rsidRPr="008E03B2">
        <w:rPr>
          <w:rFonts w:ascii="Times New Roman" w:hAnsi="Times New Roman"/>
          <w:sz w:val="28"/>
          <w:szCs w:val="28"/>
          <w:lang w:eastAsia="en-US"/>
        </w:rPr>
        <w:t>1789621,39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або </w:t>
      </w:r>
      <w:r w:rsidRPr="008E03B2">
        <w:rPr>
          <w:rFonts w:ascii="Times New Roman" w:hAnsi="Times New Roman"/>
          <w:sz w:val="28"/>
          <w:szCs w:val="28"/>
          <w:lang w:eastAsia="en-US"/>
        </w:rPr>
        <w:t>11,2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 інші виплати населенню – </w:t>
      </w:r>
      <w:r w:rsidRPr="008E03B2">
        <w:rPr>
          <w:rFonts w:ascii="Times New Roman" w:hAnsi="Times New Roman"/>
          <w:sz w:val="28"/>
          <w:szCs w:val="28"/>
          <w:lang w:eastAsia="en-US"/>
        </w:rPr>
        <w:t>121492,25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 або </w:t>
      </w:r>
      <w:r w:rsidRPr="008E03B2">
        <w:rPr>
          <w:rFonts w:ascii="Times New Roman" w:hAnsi="Times New Roman"/>
          <w:sz w:val="28"/>
          <w:szCs w:val="28"/>
          <w:lang w:eastAsia="en-US"/>
        </w:rPr>
        <w:t>0,76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%;</w:t>
      </w:r>
    </w:p>
    <w:p w:rsidR="008E03B2" w:rsidRPr="008E03B2" w:rsidRDefault="008E03B2" w:rsidP="008E03B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трансферти органам державного управління інших рівнів – </w:t>
      </w:r>
      <w:r w:rsidRPr="008E03B2">
        <w:rPr>
          <w:rFonts w:ascii="Times New Roman" w:hAnsi="Times New Roman"/>
          <w:sz w:val="28"/>
          <w:szCs w:val="28"/>
          <w:lang w:eastAsia="en-US"/>
        </w:rPr>
        <w:t>1604133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,00 грн або </w:t>
      </w:r>
      <w:r w:rsidRPr="008E03B2">
        <w:rPr>
          <w:rFonts w:ascii="Times New Roman" w:hAnsi="Times New Roman"/>
          <w:sz w:val="28"/>
          <w:szCs w:val="28"/>
          <w:lang w:eastAsia="en-US"/>
        </w:rPr>
        <w:t>10,04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%;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інші поточні видатки (медикаменти, продукти харчування, дослідження і розробки, окремі заходи по реалізації державних (регіональних) програм) – </w:t>
      </w:r>
      <w:r w:rsidRPr="008E03B2">
        <w:rPr>
          <w:rFonts w:ascii="Times New Roman" w:hAnsi="Times New Roman"/>
          <w:sz w:val="28"/>
          <w:szCs w:val="28"/>
          <w:lang w:eastAsia="en-US"/>
        </w:rPr>
        <w:t>654046,09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або </w:t>
      </w:r>
      <w:r w:rsidRPr="008E03B2">
        <w:rPr>
          <w:rFonts w:ascii="Times New Roman" w:hAnsi="Times New Roman"/>
          <w:sz w:val="28"/>
          <w:szCs w:val="28"/>
          <w:lang w:eastAsia="en-US"/>
        </w:rPr>
        <w:t>4,1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        На </w:t>
      </w: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захищені видатки із загального фонду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бюджету сільської територіальної громади за звітний період спрямовано </w:t>
      </w:r>
      <w:r w:rsidRPr="008E03B2">
        <w:rPr>
          <w:rFonts w:ascii="Times New Roman" w:hAnsi="Times New Roman"/>
          <w:sz w:val="28"/>
          <w:szCs w:val="28"/>
          <w:lang w:eastAsia="en-US"/>
        </w:rPr>
        <w:t>15488204,53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в цілому становить </w:t>
      </w:r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96</w:t>
      </w: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,9%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загального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обсягу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видатк</w:t>
      </w: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ів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На заробітну плату з нарахуваннями із загального фонду використано 1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1809451,58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 81,77% до уточнених призначень на період.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На  оплату продуктів харчування використано  163506,18  грн, що становить 17,49% до уточнених призначень на період.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 xml:space="preserve">Видатки з оплати енергоносіїв та комунальних послуг профінансовано у сумі </w:t>
      </w:r>
      <w:r w:rsidRPr="008E03B2">
        <w:rPr>
          <w:rFonts w:ascii="Times New Roman" w:hAnsi="Times New Roman"/>
          <w:sz w:val="28"/>
          <w:szCs w:val="28"/>
          <w:lang w:eastAsia="en-US"/>
        </w:rPr>
        <w:t>1789621,39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склало 52% до уточнених призначень на період.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lang w:val="uk-UA" w:eastAsia="en-US"/>
        </w:rPr>
        <w:t>КПКВКМБ 0100 «Державне управління»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на утримання апарату управління, служби у справах дітей: фактично використано за І квартал 2022 року – </w:t>
      </w:r>
      <w:r w:rsidRPr="008E03B2">
        <w:rPr>
          <w:rFonts w:ascii="Times New Roman" w:eastAsia="Times New Roman" w:hAnsi="Times New Roman"/>
          <w:sz w:val="28"/>
          <w:szCs w:val="28"/>
        </w:rPr>
        <w:t>2661430,81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плану становить </w:t>
      </w:r>
      <w:r w:rsidRPr="008E03B2">
        <w:rPr>
          <w:rFonts w:ascii="Times New Roman" w:eastAsia="Times New Roman" w:hAnsi="Times New Roman"/>
          <w:sz w:val="28"/>
          <w:szCs w:val="28"/>
        </w:rPr>
        <w:t>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Pr="008E03B2">
        <w:rPr>
          <w:rFonts w:ascii="Times New Roman" w:eastAsia="Times New Roman" w:hAnsi="Times New Roman"/>
          <w:sz w:val="28"/>
          <w:szCs w:val="28"/>
        </w:rPr>
        <w:t>,11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 до призначень на період з урахуванням змін, з них: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апарат управління  </w:t>
      </w:r>
      <w:r w:rsidRPr="008E03B2">
        <w:rPr>
          <w:rFonts w:ascii="Times New Roman" w:eastAsia="Times New Roman" w:hAnsi="Times New Roman"/>
          <w:sz w:val="28"/>
          <w:szCs w:val="28"/>
        </w:rPr>
        <w:t>- 2604487,99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- служба у справах дітей – 56942,82 грн;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Видатки за І квартал 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по головному розпоряднику коштів Виконавчий комітет Степанківської сільської ради  склали </w:t>
      </w:r>
      <w:r w:rsidRPr="008E03B2">
        <w:rPr>
          <w:rFonts w:ascii="Times New Roman" w:eastAsia="Times New Roman" w:hAnsi="Times New Roman"/>
          <w:sz w:val="28"/>
          <w:szCs w:val="28"/>
        </w:rPr>
        <w:t>2522638,35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по головному розпоряднику коштів Фінансовий відділ Степанківської сільської ради склали </w:t>
      </w:r>
      <w:r w:rsidRPr="008E03B2">
        <w:rPr>
          <w:rFonts w:ascii="Times New Roman" w:eastAsia="Times New Roman" w:hAnsi="Times New Roman"/>
          <w:sz w:val="28"/>
          <w:szCs w:val="28"/>
        </w:rPr>
        <w:t>138792,46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 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>захищені видатки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за звітний період спрямовано 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2581150,27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грн, що складає 9</w:t>
      </w:r>
      <w:r w:rsidRPr="008E03B2">
        <w:rPr>
          <w:rFonts w:ascii="Times New Roman" w:eastAsia="Times New Roman" w:hAnsi="Times New Roman"/>
          <w:sz w:val="28"/>
          <w:szCs w:val="28"/>
        </w:rPr>
        <w:t>6,98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 видатків за звітний період, з них: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1968186,88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нарахування – </w:t>
      </w:r>
      <w:r w:rsidRPr="008E03B2">
        <w:rPr>
          <w:rFonts w:ascii="Times New Roman" w:eastAsia="Times New Roman" w:hAnsi="Times New Roman"/>
          <w:sz w:val="28"/>
          <w:szCs w:val="28"/>
        </w:rPr>
        <w:t>390169,08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75,5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%. Фактично зайнята чисельність станом на 01.04.202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склала </w:t>
      </w:r>
      <w:r w:rsidRPr="008E03B2">
        <w:rPr>
          <w:rFonts w:ascii="Times New Roman" w:eastAsia="Times New Roman" w:hAnsi="Times New Roman"/>
          <w:sz w:val="28"/>
          <w:szCs w:val="28"/>
        </w:rPr>
        <w:t>43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од. при плановій чисельності </w:t>
      </w:r>
      <w:r w:rsidRPr="008E03B2">
        <w:rPr>
          <w:rFonts w:ascii="Times New Roman" w:eastAsia="Times New Roman" w:hAnsi="Times New Roman"/>
          <w:sz w:val="28"/>
          <w:szCs w:val="28"/>
        </w:rPr>
        <w:t>49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,25од.;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     - на оплату електроенергії – </w:t>
      </w:r>
      <w:r w:rsidRPr="008E03B2">
        <w:rPr>
          <w:rFonts w:ascii="Times New Roman" w:eastAsia="Times New Roman" w:hAnsi="Times New Roman"/>
          <w:sz w:val="28"/>
          <w:szCs w:val="28"/>
        </w:rPr>
        <w:t>168442,00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природного газу – </w:t>
      </w:r>
      <w:r w:rsidRPr="008E03B2">
        <w:rPr>
          <w:rFonts w:ascii="Times New Roman" w:eastAsia="Times New Roman" w:hAnsi="Times New Roman"/>
          <w:sz w:val="28"/>
          <w:szCs w:val="28"/>
        </w:rPr>
        <w:t>54352,39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64,73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На придбання предметів, матеріалів, обладнання та інвентарю – 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21914,59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9,29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%, на оплату послуг (крім комунальних) – </w:t>
      </w:r>
      <w:r w:rsidRPr="008E03B2">
        <w:rPr>
          <w:rFonts w:ascii="Times New Roman" w:eastAsia="Times New Roman" w:hAnsi="Times New Roman"/>
          <w:sz w:val="28"/>
          <w:szCs w:val="28"/>
        </w:rPr>
        <w:t>49311,71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35,48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%, на інші поточні видатки – </w:t>
      </w:r>
      <w:r w:rsidRPr="008E03B2">
        <w:rPr>
          <w:rFonts w:ascii="Times New Roman" w:eastAsia="Times New Roman" w:hAnsi="Times New Roman"/>
          <w:sz w:val="28"/>
          <w:szCs w:val="28"/>
        </w:rPr>
        <w:t>9054,16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17,08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Оплачено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послуги публікації інформаційних матеріалів, послуги з обслуговування та супроводу ПЗ "Дебет Плюс", послуги по супроводженню та обслуговуванню ПК "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Мiсцевий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бюджет", послуги оновлення до комп'ютерної програми "IS-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prо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", послуги постачання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примiрника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покетiв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оновлень (компонент) КП "M.E.Doc",  юридичні послуги із супроводу процедури відкритих торгів, телекомунікаційні послуги та доступ до мережі Інтернет.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b/>
          <w:sz w:val="28"/>
          <w:szCs w:val="28"/>
          <w:lang w:val="uk-UA" w:eastAsia="en-US"/>
        </w:rPr>
        <w:t>КПКВКМБ 1000 «Освіта»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 xml:space="preserve">На утримання закладів освіти та центру професійного розвитку у бюджеті Степанківської територіальної громади за І квартал 2022 року заплановані кошти на  звітний період в сумі </w:t>
      </w:r>
      <w:r w:rsidRPr="008E03B2">
        <w:rPr>
          <w:rFonts w:ascii="Times New Roman" w:hAnsi="Times New Roman"/>
          <w:sz w:val="28"/>
          <w:szCs w:val="28"/>
          <w:lang w:eastAsia="en-US"/>
        </w:rPr>
        <w:t>13525538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використано – </w:t>
      </w:r>
      <w:r w:rsidRPr="008E03B2">
        <w:rPr>
          <w:rFonts w:ascii="Times New Roman" w:hAnsi="Times New Roman"/>
          <w:sz w:val="28"/>
          <w:szCs w:val="28"/>
          <w:lang w:eastAsia="en-US"/>
        </w:rPr>
        <w:t>9368689,26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Pr="008E03B2">
        <w:rPr>
          <w:rFonts w:ascii="Times New Roman" w:hAnsi="Times New Roman"/>
          <w:sz w:val="28"/>
          <w:szCs w:val="28"/>
          <w:lang w:eastAsia="en-US"/>
        </w:rPr>
        <w:t>69,27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до уточнених призначень. За рахунок освітньої субвенції видатки проведені на суму </w:t>
      </w:r>
      <w:r w:rsidRPr="008E03B2">
        <w:rPr>
          <w:rFonts w:ascii="Times New Roman" w:hAnsi="Times New Roman"/>
          <w:sz w:val="28"/>
          <w:szCs w:val="28"/>
          <w:lang w:eastAsia="en-US"/>
        </w:rPr>
        <w:t>3996058,33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 при її надходженні в сумі </w:t>
      </w:r>
      <w:r w:rsidRPr="008E03B2">
        <w:rPr>
          <w:rFonts w:ascii="Times New Roman" w:hAnsi="Times New Roman"/>
          <w:sz w:val="28"/>
          <w:szCs w:val="28"/>
          <w:lang w:eastAsia="en-US"/>
        </w:rPr>
        <w:t>4330800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,00 грн, залишок поточного року на кінець періоду складає </w:t>
      </w:r>
      <w:r w:rsidRPr="008E03B2">
        <w:rPr>
          <w:rFonts w:ascii="Times New Roman" w:hAnsi="Times New Roman"/>
          <w:sz w:val="28"/>
          <w:szCs w:val="28"/>
          <w:lang w:eastAsia="en-US"/>
        </w:rPr>
        <w:t>334741,67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Станом на 01.04.202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2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року мережа дошкільних навчальних закладів становить 3 установи, планова чисельність працівників дошкільних навчальних закладів становить 61,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5 од., фактично зайнято 5</w:t>
      </w:r>
      <w:r w:rsidRPr="008E03B2">
        <w:rPr>
          <w:rFonts w:ascii="Times New Roman" w:eastAsia="Times New Roman" w:hAnsi="Times New Roman"/>
          <w:sz w:val="28"/>
          <w:szCs w:val="28"/>
        </w:rPr>
        <w:t>5,5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од., вакансій – </w:t>
      </w:r>
      <w:r w:rsidRPr="008E03B2">
        <w:rPr>
          <w:rFonts w:ascii="Times New Roman" w:eastAsia="Times New Roman" w:hAnsi="Times New Roman"/>
          <w:sz w:val="28"/>
          <w:szCs w:val="28"/>
        </w:rPr>
        <w:t>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,75 од.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утримання дошкільних навчальних закладів: фактично використано – </w:t>
      </w:r>
      <w:r w:rsidRPr="008E03B2">
        <w:rPr>
          <w:rFonts w:ascii="Times New Roman" w:hAnsi="Times New Roman"/>
          <w:sz w:val="28"/>
          <w:szCs w:val="28"/>
          <w:lang w:eastAsia="en-US"/>
        </w:rPr>
        <w:t>2180407,15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при уточненому плані </w:t>
      </w:r>
      <w:r w:rsidRPr="008E03B2">
        <w:rPr>
          <w:rFonts w:ascii="Times New Roman" w:hAnsi="Times New Roman"/>
          <w:sz w:val="28"/>
          <w:szCs w:val="28"/>
          <w:lang w:eastAsia="en-US"/>
        </w:rPr>
        <w:t>3638337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,00 грн, виконання плану становить </w:t>
      </w:r>
      <w:r w:rsidRPr="008E03B2">
        <w:rPr>
          <w:rFonts w:ascii="Times New Roman" w:hAnsi="Times New Roman"/>
          <w:sz w:val="28"/>
          <w:szCs w:val="28"/>
          <w:lang w:eastAsia="en-US"/>
        </w:rPr>
        <w:t>59,93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%, з них: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1673415,33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78,14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нарахування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341588,08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72,5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-на придбання предметів, матеріалів, обладнання та інвентарю – </w:t>
      </w:r>
      <w:r w:rsidRPr="008E03B2">
        <w:rPr>
          <w:rFonts w:ascii="Times New Roman" w:eastAsia="Times New Roman" w:hAnsi="Times New Roman"/>
          <w:sz w:val="28"/>
          <w:szCs w:val="28"/>
        </w:rPr>
        <w:t>14815,98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11</w:t>
      </w:r>
      <w:r w:rsidRPr="008E03B2">
        <w:rPr>
          <w:rFonts w:ascii="Times New Roman" w:eastAsia="Times New Roman" w:hAnsi="Times New Roman"/>
          <w:sz w:val="28"/>
          <w:szCs w:val="28"/>
        </w:rPr>
        <w:t>,75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-на придбання продуктів харчування – 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45828,29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15,09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-на оплату послуг – </w:t>
      </w:r>
      <w:r w:rsidRPr="008E03B2">
        <w:rPr>
          <w:rFonts w:ascii="Times New Roman" w:eastAsia="Times New Roman" w:hAnsi="Times New Roman"/>
          <w:sz w:val="28"/>
          <w:szCs w:val="28"/>
        </w:rPr>
        <w:t>21489,58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13,06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електроенергії – </w:t>
      </w:r>
      <w:r w:rsidRPr="008E03B2">
        <w:rPr>
          <w:rFonts w:ascii="Times New Roman" w:eastAsia="Times New Roman" w:hAnsi="Times New Roman"/>
          <w:sz w:val="28"/>
          <w:szCs w:val="28"/>
        </w:rPr>
        <w:t>77842,69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48,1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природного газу – </w:t>
      </w:r>
      <w:r w:rsidRPr="008E03B2">
        <w:rPr>
          <w:rFonts w:ascii="Times New Roman" w:eastAsia="Times New Roman" w:hAnsi="Times New Roman"/>
          <w:sz w:val="28"/>
          <w:szCs w:val="28"/>
        </w:rPr>
        <w:t>5427,20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25,84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-на інші поточні видатки – 4612,96 грн, виконання 77%;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На захищені видатки за звітний період спрямовано </w:t>
      </w:r>
      <w:r w:rsidRPr="008E03B2">
        <w:rPr>
          <w:rFonts w:ascii="Times New Roman" w:eastAsia="Times New Roman" w:hAnsi="Times New Roman"/>
          <w:sz w:val="28"/>
          <w:szCs w:val="28"/>
        </w:rPr>
        <w:t>2144101,59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що складає 98% видатків за звітний період.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 розрізі дитячих навчальних закладів проведені видатки по КЕКВ, грн.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2247"/>
        <w:gridCol w:w="1985"/>
        <w:gridCol w:w="2126"/>
        <w:gridCol w:w="1546"/>
      </w:tblGrid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КЕКВ</w:t>
            </w:r>
          </w:p>
        </w:tc>
        <w:tc>
          <w:tcPr>
            <w:tcW w:w="2247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ЗДО «Яблунька» с.Степанки</w:t>
            </w:r>
          </w:p>
        </w:tc>
        <w:tc>
          <w:tcPr>
            <w:tcW w:w="1985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ЗДО «Берізка» </w:t>
            </w: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с.Хацьки</w:t>
            </w:r>
            <w:proofErr w:type="spellEnd"/>
          </w:p>
        </w:tc>
        <w:tc>
          <w:tcPr>
            <w:tcW w:w="212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ЗДО "Веселка" </w:t>
            </w: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с.Залевки</w:t>
            </w:r>
            <w:proofErr w:type="spellEnd"/>
          </w:p>
        </w:tc>
        <w:tc>
          <w:tcPr>
            <w:tcW w:w="154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2111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647585,15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831683,32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194146,86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1 673 415,33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2120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139754,03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162075,05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39759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341 588,08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2210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3100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6563,4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5152,58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14 815,98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2230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22167,5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21233,04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2427,75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45 828,29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2240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15410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3711,58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2368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21 489,58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2273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44716,58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25475,92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7650,19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77 842,69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2274</w:t>
            </w:r>
          </w:p>
        </w:tc>
        <w:tc>
          <w:tcPr>
            <w:tcW w:w="224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98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5427,2</w:t>
            </w:r>
          </w:p>
        </w:tc>
        <w:tc>
          <w:tcPr>
            <w:tcW w:w="2126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5 427,20</w:t>
            </w:r>
          </w:p>
        </w:tc>
      </w:tr>
      <w:tr w:rsidR="008E03B2" w:rsidRPr="008E03B2" w:rsidTr="00584252">
        <w:trPr>
          <w:jc w:val="center"/>
        </w:trPr>
        <w:tc>
          <w:tcPr>
            <w:tcW w:w="1292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  <w:tc>
          <w:tcPr>
            <w:tcW w:w="2247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872733,26</w:t>
            </w:r>
          </w:p>
        </w:tc>
        <w:tc>
          <w:tcPr>
            <w:tcW w:w="198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1056169,51</w:t>
            </w:r>
          </w:p>
        </w:tc>
        <w:tc>
          <w:tcPr>
            <w:tcW w:w="2126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251504,38</w:t>
            </w:r>
          </w:p>
        </w:tc>
        <w:tc>
          <w:tcPr>
            <w:tcW w:w="1546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2 180 407,15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Станом на 01.04.202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року мережа закладів освіти складає 3 заклади загальної середньої освіти, фактична чисельність працівників станом на 01.04.202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становить </w:t>
      </w:r>
      <w:r w:rsidRPr="008E03B2">
        <w:rPr>
          <w:rFonts w:ascii="Times New Roman" w:eastAsia="Times New Roman" w:hAnsi="Times New Roman"/>
          <w:sz w:val="28"/>
          <w:szCs w:val="28"/>
        </w:rPr>
        <w:t>148,343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од., при плані </w:t>
      </w:r>
      <w:r w:rsidRPr="008E03B2">
        <w:rPr>
          <w:rFonts w:ascii="Times New Roman" w:eastAsia="Times New Roman" w:hAnsi="Times New Roman"/>
          <w:sz w:val="28"/>
          <w:szCs w:val="28"/>
        </w:rPr>
        <w:t>153,39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од., вакансій </w:t>
      </w:r>
      <w:r w:rsidRPr="008E03B2">
        <w:rPr>
          <w:rFonts w:ascii="Times New Roman" w:eastAsia="Times New Roman" w:hAnsi="Times New Roman"/>
          <w:sz w:val="28"/>
          <w:szCs w:val="28"/>
        </w:rPr>
        <w:t>5,047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од.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 утримання закладів освіти фактично використано  – </w:t>
      </w:r>
      <w:r w:rsidRPr="008E03B2">
        <w:rPr>
          <w:rFonts w:ascii="Times New Roman" w:eastAsia="Times New Roman" w:hAnsi="Times New Roman"/>
          <w:sz w:val="28"/>
          <w:szCs w:val="28"/>
        </w:rPr>
        <w:t>6875115,78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74,04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%, при уточненому плані </w:t>
      </w:r>
      <w:r w:rsidRPr="008E03B2">
        <w:rPr>
          <w:rFonts w:ascii="Times New Roman" w:eastAsia="Times New Roman" w:hAnsi="Times New Roman"/>
          <w:sz w:val="28"/>
          <w:szCs w:val="28"/>
        </w:rPr>
        <w:t>9285475,00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з них: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4770654,45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90,74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нарахування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1008966,65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8</w:t>
      </w:r>
      <w:r w:rsidRPr="008E03B2">
        <w:rPr>
          <w:rFonts w:ascii="Times New Roman" w:eastAsia="Times New Roman" w:hAnsi="Times New Roman"/>
          <w:sz w:val="28"/>
          <w:szCs w:val="28"/>
        </w:rPr>
        <w:t>7,23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 придбання предметів, матеріалів, обладнання та інвентарю –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33823,22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11,74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придбання продуктів харчування – 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117677,89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18,64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послуг – </w:t>
      </w:r>
      <w:r w:rsidRPr="008E03B2">
        <w:rPr>
          <w:rFonts w:ascii="Times New Roman" w:eastAsia="Times New Roman" w:hAnsi="Times New Roman"/>
          <w:sz w:val="28"/>
          <w:szCs w:val="28"/>
        </w:rPr>
        <w:t>28236,36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8,43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електроенергії – </w:t>
      </w:r>
      <w:r w:rsidRPr="008E03B2">
        <w:rPr>
          <w:rFonts w:ascii="Times New Roman" w:eastAsia="Times New Roman" w:hAnsi="Times New Roman"/>
          <w:sz w:val="28"/>
          <w:szCs w:val="28"/>
        </w:rPr>
        <w:t>202441,12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54,92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природного газу – </w:t>
      </w:r>
      <w:r w:rsidRPr="008E03B2">
        <w:rPr>
          <w:rFonts w:ascii="Times New Roman" w:eastAsia="Times New Roman" w:hAnsi="Times New Roman"/>
          <w:sz w:val="28"/>
          <w:szCs w:val="28"/>
        </w:rPr>
        <w:t>180032,69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55,57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інших енергоносіїв (придбання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пеллетів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) – </w:t>
      </w:r>
      <w:r w:rsidRPr="008E03B2">
        <w:rPr>
          <w:rFonts w:ascii="Times New Roman" w:eastAsia="Times New Roman" w:hAnsi="Times New Roman"/>
          <w:sz w:val="28"/>
          <w:szCs w:val="28"/>
        </w:rPr>
        <w:t>500499,40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60,44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- на інші виплати населенню – </w:t>
      </w:r>
      <w:r w:rsidRPr="008E03B2">
        <w:rPr>
          <w:rFonts w:ascii="Times New Roman" w:eastAsia="Times New Roman" w:hAnsi="Times New Roman"/>
          <w:sz w:val="28"/>
          <w:szCs w:val="28"/>
        </w:rPr>
        <w:t>28784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,00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47,97%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 розрізі закладів освіти проведені видатки по КЕКВ, грн.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851"/>
        <w:gridCol w:w="1848"/>
        <w:gridCol w:w="2087"/>
        <w:gridCol w:w="2035"/>
      </w:tblGrid>
      <w:tr w:rsidR="008E03B2" w:rsidRPr="008E03B2" w:rsidTr="00584252">
        <w:trPr>
          <w:trHeight w:val="772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КЕКВ</w:t>
            </w:r>
          </w:p>
        </w:tc>
        <w:tc>
          <w:tcPr>
            <w:tcW w:w="1851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Степанківський</w:t>
            </w:r>
            <w:proofErr w:type="spellEnd"/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 ліцей</w:t>
            </w:r>
          </w:p>
        </w:tc>
        <w:tc>
          <w:tcPr>
            <w:tcW w:w="1848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Хацьківський</w:t>
            </w:r>
            <w:proofErr w:type="spellEnd"/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 ліцей </w:t>
            </w:r>
          </w:p>
        </w:tc>
        <w:tc>
          <w:tcPr>
            <w:tcW w:w="2087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Голов'ятинська гімназія</w:t>
            </w:r>
          </w:p>
        </w:tc>
        <w:tc>
          <w:tcPr>
            <w:tcW w:w="2035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2111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1839946,31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1858690,97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1072017,17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4 770 654,45</w:t>
            </w:r>
          </w:p>
        </w:tc>
      </w:tr>
      <w:tr w:rsidR="008E03B2" w:rsidRPr="008E03B2" w:rsidTr="00584252">
        <w:trPr>
          <w:trHeight w:val="499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2120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406755,06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385352,66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216858,93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1 008 966,65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2210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5868,92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6016,82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21937,48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33 823,22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lastRenderedPageBreak/>
              <w:t>2230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41826,12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59137,79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16713,98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117 677,89</w:t>
            </w:r>
          </w:p>
        </w:tc>
      </w:tr>
      <w:tr w:rsidR="008E03B2" w:rsidRPr="008E03B2" w:rsidTr="00584252">
        <w:trPr>
          <w:trHeight w:val="499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2240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19534,18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6650,58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2051,6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28 236,36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2273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64248,76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58811,21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79381,15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202 441,12</w:t>
            </w:r>
          </w:p>
        </w:tc>
      </w:tr>
      <w:tr w:rsidR="008E03B2" w:rsidRPr="008E03B2" w:rsidTr="00584252">
        <w:trPr>
          <w:trHeight w:val="499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2274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88666,66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91366,03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180 032,69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2275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181999,77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240499,72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77999,91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500 499,40</w:t>
            </w:r>
          </w:p>
        </w:tc>
      </w:tr>
      <w:tr w:rsidR="008E03B2" w:rsidRPr="008E03B2" w:rsidTr="00584252">
        <w:trPr>
          <w:trHeight w:val="484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2730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28784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28 784,00</w:t>
            </w:r>
          </w:p>
        </w:tc>
      </w:tr>
      <w:tr w:rsidR="008E03B2" w:rsidRPr="008E03B2" w:rsidTr="00584252">
        <w:trPr>
          <w:trHeight w:val="499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2800</w:t>
            </w:r>
          </w:p>
        </w:tc>
        <w:tc>
          <w:tcPr>
            <w:tcW w:w="1851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2000</w:t>
            </w:r>
          </w:p>
        </w:tc>
        <w:tc>
          <w:tcPr>
            <w:tcW w:w="184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2000</w:t>
            </w:r>
          </w:p>
        </w:tc>
        <w:tc>
          <w:tcPr>
            <w:tcW w:w="2087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4 000,00</w:t>
            </w:r>
          </w:p>
        </w:tc>
      </w:tr>
      <w:tr w:rsidR="008E03B2" w:rsidRPr="008E03B2" w:rsidTr="00584252">
        <w:trPr>
          <w:trHeight w:val="499"/>
          <w:jc w:val="center"/>
        </w:trPr>
        <w:tc>
          <w:tcPr>
            <w:tcW w:w="1329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  <w:tc>
          <w:tcPr>
            <w:tcW w:w="1851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2679629,78</w:t>
            </w:r>
          </w:p>
        </w:tc>
        <w:tc>
          <w:tcPr>
            <w:tcW w:w="1848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2708525,78</w:t>
            </w:r>
          </w:p>
        </w:tc>
        <w:tc>
          <w:tcPr>
            <w:tcW w:w="2087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1486960,22</w:t>
            </w:r>
          </w:p>
        </w:tc>
        <w:tc>
          <w:tcPr>
            <w:tcW w:w="203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6875115,78</w:t>
            </w:r>
          </w:p>
        </w:tc>
      </w:tr>
    </w:tbl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захищені видатки за звітний період спрямовано </w:t>
      </w:r>
      <w:r w:rsidRPr="008E03B2">
        <w:rPr>
          <w:rFonts w:ascii="Times New Roman" w:hAnsi="Times New Roman"/>
          <w:sz w:val="28"/>
          <w:szCs w:val="28"/>
          <w:lang w:eastAsia="en-US"/>
        </w:rPr>
        <w:t>6809056,20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складає </w:t>
      </w:r>
      <w:r w:rsidRPr="008E03B2">
        <w:rPr>
          <w:rFonts w:ascii="Times New Roman" w:hAnsi="Times New Roman"/>
          <w:sz w:val="28"/>
          <w:szCs w:val="28"/>
          <w:lang w:eastAsia="en-US"/>
        </w:rPr>
        <w:t>99,04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видатків за звітний період.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забезпечення діяльності центру професійного розвитку педагогічних працівників: фактично використано – </w:t>
      </w:r>
      <w:r w:rsidRPr="008E03B2">
        <w:rPr>
          <w:rFonts w:ascii="Times New Roman" w:hAnsi="Times New Roman"/>
          <w:sz w:val="28"/>
          <w:szCs w:val="28"/>
          <w:lang w:eastAsia="en-US"/>
        </w:rPr>
        <w:t xml:space="preserve">313166,33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при уточненому плані </w:t>
      </w:r>
      <w:r w:rsidRPr="008E03B2">
        <w:rPr>
          <w:rFonts w:ascii="Times New Roman" w:hAnsi="Times New Roman"/>
          <w:sz w:val="28"/>
          <w:szCs w:val="28"/>
          <w:lang w:eastAsia="en-US"/>
        </w:rPr>
        <w:t>587286,00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плану становить </w:t>
      </w:r>
      <w:r w:rsidRPr="008E03B2">
        <w:rPr>
          <w:rFonts w:ascii="Times New Roman" w:hAnsi="Times New Roman"/>
          <w:sz w:val="28"/>
          <w:szCs w:val="28"/>
          <w:lang w:eastAsia="en-US"/>
        </w:rPr>
        <w:t>53,32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%, з них: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261254,45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60,8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нарахування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50189,88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E03B2">
        <w:rPr>
          <w:rFonts w:ascii="Times New Roman" w:eastAsia="Times New Roman" w:hAnsi="Times New Roman"/>
          <w:sz w:val="28"/>
          <w:szCs w:val="28"/>
        </w:rPr>
        <w:t>,08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-на придбання предметів, матеріалів, обладнання та інвентарю –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</w:rPr>
        <w:t>1390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,00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9,86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-на оплату послуг – </w:t>
      </w:r>
      <w:r w:rsidRPr="008E03B2">
        <w:rPr>
          <w:rFonts w:ascii="Times New Roman" w:eastAsia="Times New Roman" w:hAnsi="Times New Roman"/>
          <w:sz w:val="28"/>
          <w:szCs w:val="28"/>
        </w:rPr>
        <w:t>332,00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1,28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за І квартал 2022 року здійсненні за кошти бюджету Степанківської сільської територіальної громади в сумі 7201,94 грн, за рахунок іншої субвенції бюджетів територіальних громад в сумі 306346,39 грн.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Дебіторськ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заборгован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ість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по галузі «Освіта» станом на 01.04.2022 року становить 6671,76 грн (передплата періодичних видань), кредиторська заборгованість становить 1715,00 грн (оплата послуг (крім комунальних).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2000 «Охорона здоров’я»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фінансування охорони здоров’я  у бюджеті Степанківської територіальної громади на І квартал 2022 року заплановані кошти в сумі 405783,00 грн, використано – 174974,96 грн, що становить 43,12% до уточнених призначень.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фінансування первинної медичної допомоги населенню, що надається центрами первинної медичної (медико-санітарної) допомоги заплановані кошти в сумі 345783,00 грн, касові видатки - 124111,03 грн, що становить 35,89% виконання до планових показників за відповідний період.</w:t>
      </w:r>
    </w:p>
    <w:p w:rsidR="008E03B2" w:rsidRPr="008E03B2" w:rsidRDefault="008E03B2" w:rsidP="008E0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відшкодування лікарських засобів за рецептами лікарів на пільговій основі жителям Степанківської сільської територіальної громади за І квартал 2022 року профінансовано 50863,93 грн шляхом фінансування договорів на відшкодування з аптеками.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8E03B2" w:rsidRPr="008E03B2" w:rsidTr="00584252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Найменування</w:t>
            </w:r>
            <w:proofErr w:type="spellEnd"/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Профінансо-вано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Залишки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асигнувань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до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кінця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періоду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%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до плану з початку року</w:t>
            </w:r>
          </w:p>
        </w:tc>
      </w:tr>
      <w:tr w:rsidR="008E03B2" w:rsidRPr="008E03B2" w:rsidTr="00584252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 план,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І квартал 2022,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 xml:space="preserve">За І квартал 2022 року,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370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E03B2" w:rsidRPr="008E03B2" w:rsidTr="00584252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Охорона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здоров’я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867270,00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405783,00</w:t>
            </w:r>
          </w:p>
        </w:tc>
        <w:tc>
          <w:tcPr>
            <w:tcW w:w="149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174974,96</w:t>
            </w:r>
          </w:p>
        </w:tc>
        <w:tc>
          <w:tcPr>
            <w:tcW w:w="1370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230808,04</w:t>
            </w:r>
          </w:p>
        </w:tc>
        <w:tc>
          <w:tcPr>
            <w:tcW w:w="120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43,12 %</w:t>
            </w:r>
          </w:p>
        </w:tc>
      </w:tr>
      <w:tr w:rsidR="008E03B2" w:rsidRPr="008E03B2" w:rsidTr="00584252">
        <w:trPr>
          <w:trHeight w:val="2128"/>
        </w:trPr>
        <w:tc>
          <w:tcPr>
            <w:tcW w:w="105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0212111</w:t>
            </w:r>
          </w:p>
        </w:tc>
        <w:tc>
          <w:tcPr>
            <w:tcW w:w="189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ервинна</w:t>
            </w:r>
            <w:proofErr w:type="spellEnd"/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667270,00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345783,00</w:t>
            </w:r>
          </w:p>
        </w:tc>
        <w:tc>
          <w:tcPr>
            <w:tcW w:w="149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124111,03</w:t>
            </w:r>
          </w:p>
        </w:tc>
        <w:tc>
          <w:tcPr>
            <w:tcW w:w="1370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221671,97</w:t>
            </w:r>
          </w:p>
        </w:tc>
        <w:tc>
          <w:tcPr>
            <w:tcW w:w="120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35,89 %</w:t>
            </w:r>
          </w:p>
        </w:tc>
      </w:tr>
      <w:tr w:rsidR="008E03B2" w:rsidRPr="008E03B2" w:rsidTr="00584252">
        <w:trPr>
          <w:trHeight w:val="752"/>
        </w:trPr>
        <w:tc>
          <w:tcPr>
            <w:tcW w:w="105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2610</w:t>
            </w:r>
          </w:p>
        </w:tc>
        <w:tc>
          <w:tcPr>
            <w:tcW w:w="189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Субсидії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поточні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трансферти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підприємствам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установам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організаціям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667270,00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345783,00</w:t>
            </w:r>
          </w:p>
        </w:tc>
        <w:tc>
          <w:tcPr>
            <w:tcW w:w="149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124111,03</w:t>
            </w:r>
          </w:p>
        </w:tc>
        <w:tc>
          <w:tcPr>
            <w:tcW w:w="1370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221671,97</w:t>
            </w:r>
          </w:p>
        </w:tc>
        <w:tc>
          <w:tcPr>
            <w:tcW w:w="1207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35,89 %</w:t>
            </w:r>
          </w:p>
        </w:tc>
      </w:tr>
      <w:tr w:rsidR="008E03B2" w:rsidRPr="008E03B2" w:rsidTr="00584252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програми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та заходи у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сфері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охорони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здоров’я</w:t>
            </w:r>
            <w:proofErr w:type="spellEnd"/>
          </w:p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200000,00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60000,00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50863,93</w:t>
            </w:r>
          </w:p>
        </w:tc>
        <w:tc>
          <w:tcPr>
            <w:tcW w:w="1370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9136,07</w:t>
            </w:r>
          </w:p>
        </w:tc>
        <w:tc>
          <w:tcPr>
            <w:tcW w:w="120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84,77 %</w:t>
            </w:r>
          </w:p>
        </w:tc>
      </w:tr>
      <w:tr w:rsidR="008E03B2" w:rsidRPr="008E03B2" w:rsidTr="00584252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виплати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населенню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200000,00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60000,00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50863,93</w:t>
            </w:r>
          </w:p>
        </w:tc>
        <w:tc>
          <w:tcPr>
            <w:tcW w:w="1370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9136,07</w:t>
            </w:r>
          </w:p>
        </w:tc>
        <w:tc>
          <w:tcPr>
            <w:tcW w:w="1207" w:type="dxa"/>
            <w:shd w:val="clear" w:color="auto" w:fill="auto"/>
            <w:hideMark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84,77 %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3000 «Соціальний захист та соціальне забезпечення»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 фінансування соціального захисту і соціального забезпечення у бюджеті Степанківської територіальної громади на І квартал 2022 року заплановані кошти в сумі 572784,00 грн, використано – 339303,41 грн, що становить 59,24% до уточнених призначень.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утримання Центру надання соціальних послуг Степанківської сільської ради заплановані видатки в сумі 402840,00 грн, профінансовано – 274513,09 грн, що становить 67,29% до уточнених призначень.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628"/>
        <w:gridCol w:w="1166"/>
        <w:gridCol w:w="1066"/>
        <w:gridCol w:w="1248"/>
        <w:gridCol w:w="1256"/>
        <w:gridCol w:w="1209"/>
      </w:tblGrid>
      <w:tr w:rsidR="008E03B2" w:rsidRPr="008E03B2" w:rsidTr="00584252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Профінансо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вано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Залишки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асигнувань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кінця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періоду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до плану з початку року</w:t>
            </w:r>
          </w:p>
        </w:tc>
      </w:tr>
      <w:tr w:rsidR="008E03B2" w:rsidRPr="008E03B2" w:rsidTr="00584252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план,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І квартал 2022,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За І квартал 2022 року,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3B2" w:rsidRPr="008E03B2" w:rsidTr="00584252">
        <w:trPr>
          <w:trHeight w:val="52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захист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1895799,00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572784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342761,41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230022,59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59,24 %</w:t>
            </w:r>
          </w:p>
        </w:tc>
      </w:tr>
      <w:tr w:rsidR="008E03B2" w:rsidRPr="008E03B2" w:rsidTr="00584252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0213032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Надання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пільг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окремим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категоріям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громадян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з оплати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1926,84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1598,16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54,66 %</w:t>
            </w:r>
          </w:p>
        </w:tc>
      </w:tr>
      <w:tr w:rsidR="008E03B2" w:rsidRPr="008E03B2" w:rsidTr="00584252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0213033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Компенсаційні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виплати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пільговий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проїзд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автомобільним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транспортом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окремим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категоріям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громадян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168000,00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26404,00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15596,00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62,87 %</w:t>
            </w:r>
          </w:p>
        </w:tc>
      </w:tr>
      <w:tr w:rsidR="008E03B2" w:rsidRPr="008E03B2" w:rsidTr="00584252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0213050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Пільгове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осіб,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постраждали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внаслідок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Чорнобильської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катастрофи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43381,00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10846,00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7321,23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3524,77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67,50 %</w:t>
            </w:r>
          </w:p>
        </w:tc>
      </w:tr>
      <w:tr w:rsidR="008E03B2" w:rsidRPr="008E03B2" w:rsidTr="00584252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0213090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Видатки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поховання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учасників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бойових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дій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та осіб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інвалідністю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внаслідок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війни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0,00 %</w:t>
            </w:r>
          </w:p>
        </w:tc>
      </w:tr>
      <w:tr w:rsidR="008E03B2" w:rsidRPr="008E03B2" w:rsidTr="00584252">
        <w:trPr>
          <w:trHeight w:val="28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0213160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соціальних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гарантій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фізичним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особам,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надають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соціальні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послуги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громадянам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похилого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віку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особам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інвалідністю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дітям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інвалідністю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хворим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які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здатні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самообслуговування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потребують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сторонньої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допомоги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7143,54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7856,46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47,62 %</w:t>
            </w:r>
          </w:p>
        </w:tc>
      </w:tr>
      <w:tr w:rsidR="008E03B2" w:rsidRPr="008E03B2" w:rsidTr="00584252">
        <w:trPr>
          <w:trHeight w:val="9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0213171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Компенсаційні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виплати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особам з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інвалідністю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на бензин, ремонт,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технічне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автомобілів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мотоколясок і на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транспортне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5146,00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2573,00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2452,71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120,29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95,32 %</w:t>
            </w:r>
          </w:p>
        </w:tc>
      </w:tr>
      <w:tr w:rsidR="008E03B2" w:rsidRPr="008E03B2" w:rsidTr="00584252">
        <w:trPr>
          <w:trHeight w:val="5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0213241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Забезпечення діяльності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закладів у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сфері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захисту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1300846,00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402840,00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274513,09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128326,91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67,29 %</w:t>
            </w:r>
          </w:p>
        </w:tc>
      </w:tr>
      <w:tr w:rsidR="008E03B2" w:rsidRPr="008E03B2" w:rsidTr="0058425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Заробітна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1050006,00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213932,62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103067,38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67,49 %</w:t>
            </w:r>
          </w:p>
        </w:tc>
      </w:tr>
      <w:tr w:rsidR="008E03B2" w:rsidRPr="008E03B2" w:rsidTr="00584252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Нарахування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238740,00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73740,00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55122,47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18617,53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74,75%</w:t>
            </w:r>
          </w:p>
        </w:tc>
      </w:tr>
      <w:tr w:rsidR="008E03B2" w:rsidRPr="008E03B2" w:rsidTr="00584252">
        <w:trPr>
          <w:trHeight w:val="40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Предмети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матеріали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0,00 %</w:t>
            </w:r>
          </w:p>
        </w:tc>
      </w:tr>
      <w:tr w:rsidR="008E03B2" w:rsidRPr="008E03B2" w:rsidTr="0058425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40,00 %</w:t>
            </w:r>
          </w:p>
        </w:tc>
      </w:tr>
      <w:tr w:rsidR="008E03B2" w:rsidRPr="008E03B2" w:rsidTr="00584252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0213242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заходи у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сфері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захисту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23,96 %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4000 «Культура і мистецтво»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По галузі «Культура» за звітний період здійснено видатки в сумі 678202,38 грн при уточненому плані 1415929,00 грн, що становить 47,90%. </w:t>
      </w: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КЗ «Степанківська центральна публічна бібліотека»;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Бібліотека-філія КЗ «Степанківська центральна публічна бібліотека»;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Голов’ятинська сільська бібліотека;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Малобузуківська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сільська бібліотека;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Залевківська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сільська бібліотека.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утримання бібліотек за І квартал 2022 року використано коштів – 110239,83 грн, виконання становить 40,93% при уточненому плані 269310,00 грн, в тому числі: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94"/>
        <w:gridCol w:w="1293"/>
        <w:gridCol w:w="1293"/>
        <w:gridCol w:w="1585"/>
        <w:gridCol w:w="1421"/>
        <w:gridCol w:w="1402"/>
      </w:tblGrid>
      <w:tr w:rsidR="008E03B2" w:rsidRPr="008E03B2" w:rsidTr="00584252">
        <w:trPr>
          <w:trHeight w:val="284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Найменування</w:t>
            </w:r>
            <w:proofErr w:type="spellEnd"/>
          </w:p>
        </w:tc>
        <w:tc>
          <w:tcPr>
            <w:tcW w:w="2585" w:type="dxa"/>
            <w:gridSpan w:val="2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Уточнений план,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Профінансо-вано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Залишки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асигнувань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кінця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періоду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%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до плану з початку року</w:t>
            </w:r>
          </w:p>
        </w:tc>
      </w:tr>
      <w:tr w:rsidR="008E03B2" w:rsidRPr="008E03B2" w:rsidTr="00584252">
        <w:trPr>
          <w:trHeight w:val="363"/>
        </w:trPr>
        <w:tc>
          <w:tcPr>
            <w:tcW w:w="708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І квартал 2022 року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За І квартал 2022 року</w:t>
            </w:r>
          </w:p>
        </w:tc>
        <w:tc>
          <w:tcPr>
            <w:tcW w:w="1421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3B2" w:rsidRPr="008E03B2" w:rsidTr="00584252">
        <w:trPr>
          <w:trHeight w:val="242"/>
        </w:trPr>
        <w:tc>
          <w:tcPr>
            <w:tcW w:w="7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2111</w:t>
            </w:r>
          </w:p>
        </w:tc>
        <w:tc>
          <w:tcPr>
            <w:tcW w:w="1894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Заробітна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плата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554457,00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138615,00</w:t>
            </w:r>
          </w:p>
        </w:tc>
        <w:tc>
          <w:tcPr>
            <w:tcW w:w="158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91433,18</w:t>
            </w:r>
          </w:p>
        </w:tc>
        <w:tc>
          <w:tcPr>
            <w:tcW w:w="14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47181,82</w:t>
            </w:r>
          </w:p>
        </w:tc>
        <w:tc>
          <w:tcPr>
            <w:tcW w:w="140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65,96 %</w:t>
            </w:r>
          </w:p>
        </w:tc>
      </w:tr>
      <w:tr w:rsidR="008E03B2" w:rsidRPr="008E03B2" w:rsidTr="00584252">
        <w:trPr>
          <w:trHeight w:val="242"/>
        </w:trPr>
        <w:tc>
          <w:tcPr>
            <w:tcW w:w="7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2120</w:t>
            </w:r>
          </w:p>
        </w:tc>
        <w:tc>
          <w:tcPr>
            <w:tcW w:w="1894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Нарахування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на оплату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праці</w:t>
            </w:r>
            <w:proofErr w:type="spellEnd"/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121980,00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30495,00</w:t>
            </w:r>
          </w:p>
        </w:tc>
        <w:tc>
          <w:tcPr>
            <w:tcW w:w="158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18806,65</w:t>
            </w:r>
          </w:p>
        </w:tc>
        <w:tc>
          <w:tcPr>
            <w:tcW w:w="14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11688,35</w:t>
            </w:r>
          </w:p>
        </w:tc>
        <w:tc>
          <w:tcPr>
            <w:tcW w:w="140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61,6677 %</w:t>
            </w:r>
          </w:p>
        </w:tc>
      </w:tr>
      <w:tr w:rsidR="008E03B2" w:rsidRPr="008E03B2" w:rsidTr="00584252">
        <w:trPr>
          <w:trHeight w:val="405"/>
        </w:trPr>
        <w:tc>
          <w:tcPr>
            <w:tcW w:w="7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2210</w:t>
            </w:r>
          </w:p>
        </w:tc>
        <w:tc>
          <w:tcPr>
            <w:tcW w:w="1894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Предмети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матеріали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обладнання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інвентар</w:t>
            </w:r>
            <w:proofErr w:type="spellEnd"/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120000,00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95000,00</w:t>
            </w:r>
          </w:p>
        </w:tc>
        <w:tc>
          <w:tcPr>
            <w:tcW w:w="158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95000,00</w:t>
            </w:r>
          </w:p>
        </w:tc>
        <w:tc>
          <w:tcPr>
            <w:tcW w:w="140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0,00 %</w:t>
            </w:r>
          </w:p>
        </w:tc>
      </w:tr>
      <w:tr w:rsidR="008E03B2" w:rsidRPr="008E03B2" w:rsidTr="00584252">
        <w:trPr>
          <w:trHeight w:val="242"/>
        </w:trPr>
        <w:tc>
          <w:tcPr>
            <w:tcW w:w="7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>2240</w:t>
            </w:r>
          </w:p>
        </w:tc>
        <w:tc>
          <w:tcPr>
            <w:tcW w:w="1894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послуг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крім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комунальних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293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58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0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0,00 %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Будинок культури с. Степанки;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Будинок культури с. Хацьки;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Голов’ятинський сільський будинок культури;</w:t>
      </w:r>
    </w:p>
    <w:p w:rsidR="008E03B2" w:rsidRPr="008E03B2" w:rsidRDefault="008E03B2" w:rsidP="008E03B2">
      <w:pPr>
        <w:numPr>
          <w:ilvl w:val="0"/>
          <w:numId w:val="3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Малобузуківський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сільський клуб;</w:t>
      </w:r>
    </w:p>
    <w:p w:rsidR="008E03B2" w:rsidRPr="008E03B2" w:rsidRDefault="008E03B2" w:rsidP="008E03B2">
      <w:pPr>
        <w:numPr>
          <w:ilvl w:val="0"/>
          <w:numId w:val="32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  <w:lang w:val="uk-UA" w:eastAsia="en-US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сільський клуб.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утримання будинків культури, сільських клубів за І квартал 2022 року використано коштів – 567962,55 грн,</w:t>
      </w: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при уточненому плані 1146619,00 грн, що становить</w:t>
      </w: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49,53%, в тому числі: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72"/>
        <w:gridCol w:w="1405"/>
        <w:gridCol w:w="1281"/>
        <w:gridCol w:w="1531"/>
        <w:gridCol w:w="1408"/>
        <w:gridCol w:w="1355"/>
      </w:tblGrid>
      <w:tr w:rsidR="008E03B2" w:rsidRPr="008E03B2" w:rsidTr="00584252">
        <w:trPr>
          <w:trHeight w:val="293"/>
        </w:trPr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Найменування</w:t>
            </w:r>
            <w:proofErr w:type="spellEnd"/>
          </w:p>
        </w:tc>
        <w:tc>
          <w:tcPr>
            <w:tcW w:w="2686" w:type="dxa"/>
            <w:gridSpan w:val="2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Уточнений план,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Профінансо-вано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Залишки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асигнувань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кінця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періоду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355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%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до плану з початку року</w:t>
            </w:r>
          </w:p>
        </w:tc>
      </w:tr>
      <w:tr w:rsidR="008E03B2" w:rsidRPr="008E03B2" w:rsidTr="00584252">
        <w:trPr>
          <w:trHeight w:val="374"/>
        </w:trPr>
        <w:tc>
          <w:tcPr>
            <w:tcW w:w="721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І квартал 2022 року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</w:rPr>
              <w:t>За І квартал 2022 року</w:t>
            </w:r>
          </w:p>
        </w:tc>
        <w:tc>
          <w:tcPr>
            <w:tcW w:w="1408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Заробітна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плата</w:t>
            </w:r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1565030,00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391260,00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280077,02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111182,98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71,58 %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Нарахування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на оплату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праці</w:t>
            </w:r>
            <w:proofErr w:type="spellEnd"/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344307,00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86079,00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63707,22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22371,78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74,01 %</w:t>
            </w:r>
          </w:p>
        </w:tc>
      </w:tr>
      <w:tr w:rsidR="008E03B2" w:rsidRPr="008E03B2" w:rsidTr="00584252">
        <w:trPr>
          <w:trHeight w:val="418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Предмети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матеріали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обладнання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інвентар</w:t>
            </w:r>
            <w:proofErr w:type="spellEnd"/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425,02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9574,98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4,25 %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послуг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крім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комунальних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181000,00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136000,00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7091,37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128908,63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3,23 %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електроенергії</w:t>
            </w:r>
            <w:proofErr w:type="spellEnd"/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759966,00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354780,00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214365,12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140414,88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60,42 %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2275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03B2">
              <w:rPr>
                <w:rFonts w:ascii="Times New Roman" w:eastAsia="Times New Roman" w:hAnsi="Times New Roman"/>
                <w:color w:val="00000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енергоносіїв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інших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комунальних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послуг</w:t>
            </w:r>
            <w:proofErr w:type="spellEnd"/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188500,00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162500,00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162500,00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0,00 %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2282</w:t>
            </w:r>
          </w:p>
        </w:tc>
        <w:tc>
          <w:tcPr>
            <w:tcW w:w="1772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Окремі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заходи по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реалізації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державних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регіональних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програм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, не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віднесені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заходів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розвитку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81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31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55" w:type="dxa"/>
            <w:shd w:val="clear" w:color="auto" w:fill="auto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0,00 %</w:t>
            </w:r>
          </w:p>
        </w:tc>
      </w:tr>
      <w:tr w:rsidR="008E03B2" w:rsidRPr="008E03B2" w:rsidTr="00584252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77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поточні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</w:rPr>
              <w:t>видатки</w:t>
            </w:r>
            <w:proofErr w:type="spellEnd"/>
          </w:p>
        </w:tc>
        <w:tc>
          <w:tcPr>
            <w:tcW w:w="140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8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53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0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03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100,00 %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 розрізі закладів культури проведені видатки по КЕКВ, грн.</w:t>
      </w:r>
    </w:p>
    <w:tbl>
      <w:tblPr>
        <w:tblStyle w:val="ad"/>
        <w:tblW w:w="9432" w:type="dxa"/>
        <w:jc w:val="center"/>
        <w:tblLook w:val="04A0" w:firstRow="1" w:lastRow="0" w:firstColumn="1" w:lastColumn="0" w:noHBand="0" w:noVBand="1"/>
      </w:tblPr>
      <w:tblGrid>
        <w:gridCol w:w="1738"/>
        <w:gridCol w:w="1400"/>
        <w:gridCol w:w="1304"/>
        <w:gridCol w:w="1623"/>
        <w:gridCol w:w="1683"/>
        <w:gridCol w:w="1684"/>
      </w:tblGrid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КЕКВ</w:t>
            </w:r>
          </w:p>
        </w:tc>
        <w:tc>
          <w:tcPr>
            <w:tcW w:w="1404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Будинок культури с.Степанки</w:t>
            </w:r>
          </w:p>
        </w:tc>
        <w:tc>
          <w:tcPr>
            <w:tcW w:w="1315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Будинок культури </w:t>
            </w: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с.Хацьки</w:t>
            </w:r>
            <w:proofErr w:type="spellEnd"/>
          </w:p>
        </w:tc>
        <w:tc>
          <w:tcPr>
            <w:tcW w:w="1500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Будинок культури </w:t>
            </w: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с.Голов’ятине</w:t>
            </w:r>
            <w:proofErr w:type="spellEnd"/>
          </w:p>
        </w:tc>
        <w:tc>
          <w:tcPr>
            <w:tcW w:w="1658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8E03B2">
              <w:rPr>
                <w:rFonts w:ascii="Times New Roman" w:hAnsi="Times New Roman"/>
                <w:b/>
                <w:lang w:val="uk-UA" w:eastAsia="en-US"/>
              </w:rPr>
              <w:t>Залевківський</w:t>
            </w:r>
            <w:proofErr w:type="spellEnd"/>
            <w:r w:rsidRPr="008E03B2">
              <w:rPr>
                <w:rFonts w:ascii="Times New Roman" w:hAnsi="Times New Roman"/>
                <w:b/>
                <w:lang w:val="uk-UA" w:eastAsia="en-US"/>
              </w:rPr>
              <w:t xml:space="preserve"> сільський клуб</w:t>
            </w:r>
          </w:p>
        </w:tc>
        <w:tc>
          <w:tcPr>
            <w:tcW w:w="1749" w:type="dxa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2111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122417,9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95130,02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47904,1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14625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280 077,02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2120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27891,47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18626,57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12899,48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4290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63 707,52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2210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425,02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425,02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2240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2051,58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2336,59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4 388,17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2273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119908,53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80152,14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14304,45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214 365,12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2800</w:t>
            </w:r>
          </w:p>
        </w:tc>
        <w:tc>
          <w:tcPr>
            <w:tcW w:w="1404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315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5000</w:t>
            </w:r>
          </w:p>
        </w:tc>
        <w:tc>
          <w:tcPr>
            <w:tcW w:w="1500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658" w:type="dxa"/>
            <w:shd w:val="clear" w:color="auto" w:fill="FFFFCC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E03B2">
              <w:rPr>
                <w:rFonts w:ascii="Times New Roman" w:hAnsi="Times New Roman"/>
                <w:lang w:val="uk-UA" w:eastAsia="en-US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5 000,00</w:t>
            </w:r>
          </w:p>
        </w:tc>
      </w:tr>
      <w:tr w:rsidR="008E03B2" w:rsidRPr="008E03B2" w:rsidTr="00584252">
        <w:trPr>
          <w:jc w:val="center"/>
        </w:trPr>
        <w:tc>
          <w:tcPr>
            <w:tcW w:w="1806" w:type="dxa"/>
            <w:shd w:val="clear" w:color="auto" w:fill="auto"/>
          </w:tcPr>
          <w:p w:rsidR="008E03B2" w:rsidRPr="008E03B2" w:rsidRDefault="008E03B2" w:rsidP="008E03B2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Разом</w:t>
            </w:r>
          </w:p>
        </w:tc>
        <w:tc>
          <w:tcPr>
            <w:tcW w:w="1404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272694,5</w:t>
            </w:r>
          </w:p>
        </w:tc>
        <w:tc>
          <w:tcPr>
            <w:tcW w:w="1315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201245,32</w:t>
            </w:r>
          </w:p>
        </w:tc>
        <w:tc>
          <w:tcPr>
            <w:tcW w:w="1500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75108,03</w:t>
            </w:r>
          </w:p>
        </w:tc>
        <w:tc>
          <w:tcPr>
            <w:tcW w:w="1658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18915</w:t>
            </w:r>
          </w:p>
        </w:tc>
        <w:tc>
          <w:tcPr>
            <w:tcW w:w="1749" w:type="dxa"/>
            <w:shd w:val="clear" w:color="auto" w:fill="auto"/>
          </w:tcPr>
          <w:p w:rsidR="008E03B2" w:rsidRPr="008E03B2" w:rsidRDefault="008E03B2" w:rsidP="008E03B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E03B2">
              <w:rPr>
                <w:rFonts w:ascii="Times New Roman" w:hAnsi="Times New Roman"/>
                <w:b/>
                <w:lang w:val="uk-UA" w:eastAsia="en-US"/>
              </w:rPr>
              <w:t>567 962,85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5000 «Фізична культура і спорт»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4"/>
          <w:lang w:val="uk-UA"/>
        </w:rPr>
        <w:t xml:space="preserve"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заплановані  в сумі 34000,00грн на І квартал 2022 року,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профінансовано 0,00 грн, що становить</w:t>
      </w: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0,00%, з них: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557"/>
        <w:gridCol w:w="1091"/>
        <w:gridCol w:w="1129"/>
        <w:gridCol w:w="1607"/>
        <w:gridCol w:w="1378"/>
        <w:gridCol w:w="1255"/>
      </w:tblGrid>
      <w:tr w:rsidR="008E03B2" w:rsidRPr="008E03B2" w:rsidTr="00584252">
        <w:trPr>
          <w:trHeight w:val="290"/>
        </w:trPr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Уточнений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Профінансовано</w:t>
            </w:r>
            <w:proofErr w:type="spellEnd"/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Залишки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асигнувань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кінця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періоду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виконання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до плану з початку року</w:t>
            </w:r>
          </w:p>
        </w:tc>
      </w:tr>
      <w:tr w:rsidR="008E03B2" w:rsidRPr="008E03B2" w:rsidTr="00584252">
        <w:trPr>
          <w:trHeight w:val="499"/>
        </w:trPr>
        <w:tc>
          <w:tcPr>
            <w:tcW w:w="632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Річний</w:t>
            </w:r>
            <w:proofErr w:type="spellEnd"/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план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І квартал 2022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За І квартал 2022 року</w:t>
            </w:r>
          </w:p>
        </w:tc>
        <w:tc>
          <w:tcPr>
            <w:tcW w:w="1378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3B2" w:rsidRPr="008E03B2" w:rsidTr="00584252">
        <w:trPr>
          <w:trHeight w:val="247"/>
        </w:trPr>
        <w:tc>
          <w:tcPr>
            <w:tcW w:w="63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5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2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0,00 %</w:t>
            </w:r>
          </w:p>
        </w:tc>
      </w:tr>
      <w:tr w:rsidR="008E03B2" w:rsidRPr="008E03B2" w:rsidTr="00584252">
        <w:trPr>
          <w:trHeight w:val="247"/>
        </w:trPr>
        <w:tc>
          <w:tcPr>
            <w:tcW w:w="632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55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поточні</w:t>
            </w:r>
            <w:proofErr w:type="spellEnd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091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12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607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255" w:type="dxa"/>
            <w:shd w:val="clear" w:color="auto" w:fill="auto"/>
            <w:hideMark/>
          </w:tcPr>
          <w:p w:rsidR="008E03B2" w:rsidRPr="008E03B2" w:rsidRDefault="008E03B2" w:rsidP="008E0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0,00 %</w:t>
            </w:r>
          </w:p>
        </w:tc>
      </w:tr>
    </w:tbl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6000 «Житлово-комунальне господарство»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Для виконання робіт благоустрою населених пунктів за звітний період використані кошти в сумі 451848,92 грн при уточненому плані 1145173,00 грн, що становить 39,46%.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Серед напрямків фінансування  оплата праці та нарахування робітників робочої групи з благоустрою зокрема: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     - на заробітну плату – 154159,65 грн, виконання 94,81%;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нарахування на оплату праці – 34630,13 грн, виконання 96,81%;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придбання бензину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оливи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використано кошти в сумі 4050,00 грн, виконання 2,38%;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Отримано послуги з  </w:t>
      </w:r>
      <w:r w:rsidRPr="008E03B2">
        <w:rPr>
          <w:rFonts w:ascii="Times New Roman" w:eastAsia="Times New Roman" w:hAnsi="Times New Roman"/>
          <w:sz w:val="28"/>
          <w:szCs w:val="28"/>
        </w:rPr>
        <w:t>поточного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ремонту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техобслуговування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мережі</w:t>
      </w:r>
      <w:r w:rsidRPr="008E03B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вуличного освітлення в сумі </w:t>
      </w:r>
      <w:r w:rsidRPr="008E03B2">
        <w:rPr>
          <w:rFonts w:ascii="Times New Roman" w:eastAsia="Times New Roman" w:hAnsi="Times New Roman"/>
          <w:sz w:val="28"/>
          <w:szCs w:val="28"/>
        </w:rPr>
        <w:t>48619,20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15,43%.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 оплату електроенергії (вуличного освітлення) – 200369,36 грн, виконання 50,52%.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На утримання об’єктів соціальної сфери підприємств, що передаються до комунальної власності  використано – 18 7608,73 грн, в тому числі: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 оплату послуг (крім комунальних) – 1660,00 грн, виконання 0,85%;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 оплату електроенергії – 82175,37 грн, виконання 43,72%;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 оплату природного газу – 103674,05 грн, виконання 74,74%;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-на інші поточні видатки – 99,31 грн, виконання 6,62%.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8000 «Інша діяльність»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КПКВКМБ 0218130 «Забезпечення діяльності місцевої пожежної охорони»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І квартал 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на утримання Місцевої пожежної охорони фактично проведенні  видатки в сумі </w:t>
      </w:r>
      <w:r w:rsidRPr="008E03B2">
        <w:rPr>
          <w:rFonts w:ascii="Times New Roman" w:eastAsia="Times New Roman" w:hAnsi="Times New Roman"/>
          <w:sz w:val="28"/>
          <w:szCs w:val="28"/>
        </w:rPr>
        <w:t>472652,97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плану становить </w:t>
      </w:r>
      <w:r w:rsidRPr="008E03B2">
        <w:rPr>
          <w:rFonts w:ascii="Times New Roman" w:eastAsia="Times New Roman" w:hAnsi="Times New Roman"/>
          <w:sz w:val="28"/>
          <w:szCs w:val="28"/>
        </w:rPr>
        <w:t>67,95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% до призначень на період з урахуванням змін, а саме: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оплату праці – </w:t>
      </w:r>
      <w:r w:rsidRPr="008E03B2">
        <w:rPr>
          <w:rFonts w:ascii="Times New Roman" w:eastAsia="Times New Roman" w:hAnsi="Times New Roman"/>
          <w:sz w:val="28"/>
          <w:szCs w:val="28"/>
        </w:rPr>
        <w:t>356387,70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нарахування – </w:t>
      </w:r>
      <w:r w:rsidRPr="008E03B2">
        <w:rPr>
          <w:rFonts w:ascii="Times New Roman" w:eastAsia="Times New Roman" w:hAnsi="Times New Roman"/>
          <w:sz w:val="28"/>
          <w:szCs w:val="28"/>
        </w:rPr>
        <w:t>76770,27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81,44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%. Фактична чисельність працівників становить 1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од. при плановій чисельності 14 од.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на придбання предметів, матеріалів, обладнання та інвентарю, зокрема  дизельного палива – </w:t>
      </w:r>
      <w:r w:rsidRPr="008E03B2">
        <w:rPr>
          <w:rFonts w:ascii="Times New Roman" w:eastAsia="Times New Roman" w:hAnsi="Times New Roman"/>
          <w:sz w:val="28"/>
          <w:szCs w:val="28"/>
        </w:rPr>
        <w:t>38500,00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виконання </w:t>
      </w:r>
      <w:r w:rsidRPr="008E03B2">
        <w:rPr>
          <w:rFonts w:ascii="Times New Roman" w:eastAsia="Times New Roman" w:hAnsi="Times New Roman"/>
          <w:sz w:val="28"/>
          <w:szCs w:val="28"/>
        </w:rPr>
        <w:t>26,78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%;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на оплату послуг (крім комунальних), зокрема послуг по обов’язковому страхуванню цивільно-правової відповідальності власників наземних транспортних засобів – 995,00 грн, виконання 13,48 %;</w:t>
      </w:r>
    </w:p>
    <w:p w:rsidR="008E03B2" w:rsidRPr="008E03B2" w:rsidRDefault="008E03B2" w:rsidP="008E0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громади.</w:t>
      </w:r>
    </w:p>
    <w:p w:rsidR="008E03B2" w:rsidRPr="008E03B2" w:rsidRDefault="008E03B2" w:rsidP="008E0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За  І квартал 2022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262500,00 грн.</w:t>
      </w:r>
    </w:p>
    <w:p w:rsidR="008E03B2" w:rsidRPr="008E03B2" w:rsidRDefault="008E03B2" w:rsidP="008E03B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Видатки на утримання Місцевої пожежної охорони</w:t>
      </w:r>
      <w:r w:rsidRPr="008E03B2">
        <w:rPr>
          <w:sz w:val="28"/>
          <w:szCs w:val="28"/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забезпечені за рахунок субвенції з бюджету Білозірської сільської територіальної громади в сумі 176354,43 грн, за рахунок власних коштів бюджету громади в сумі 296298,54 грн. </w:t>
      </w:r>
    </w:p>
    <w:p w:rsidR="008E03B2" w:rsidRPr="008E03B2" w:rsidRDefault="008E03B2" w:rsidP="008E03B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На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виконання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програми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«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Інші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заходи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громадського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 xml:space="preserve"> порядку та </w:t>
      </w:r>
      <w:proofErr w:type="spellStart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безпеки</w:t>
      </w:r>
      <w:proofErr w:type="spellEnd"/>
      <w:r w:rsidRPr="008E03B2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 за звітний період використані кошти в сумі 39900,00 грн при уточненому плані 40000,00 грн, що становить 99,75%, зокрема на придбання бензину.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КПКВКМБ 9000 «Міжбюджетні трансфери»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Впродовж І кварталу 2022 року з бюджету Степанківської сільської територіальної громади іншим бюджетам перераховано 1604133,00 грн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міжбюджетних трансферів.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Інші субвенції з місцевого бюджету перераховані: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оплату праці працівників позашкільного закладу Центру дитячої та юнацької творчості в сумі  - 30978,00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оплату праці інструктора з фізкультури КЗ «Спорт для всіх» в сумі – 66700,00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 підтримку КНП «Черкаська центральна районна лікарня» в сумі – 371700,00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 утримання КУ «Інклюзивно-ресурсний центр» Червонослобідської сільської ради в сумі – 5070,00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 підтримку у 2022 році КНП «Смілянська багатопрофільна лікарня ім. Софії Бобринської» в сумі – 140485,00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158100,00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підтримку у 2022 році КНП «Черкаський районний центр первинної медико-санітарної допомоги» в сумі – 133 100,00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 забезпечення діяльності поліцейського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офіцера громади, а зокрема придбання паливо-мастильних матеріалів – 30000,00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виконання Програми підтримки діяльності органів виконавчої влади на 2021-2024 роки, для відділу містобудування та архітектури Черкаської районної державної адміністрації в сумі – 50000,00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підтримку Черкаського батальйону територіальної оборони в сумі – 218000,00 грн;</w:t>
      </w:r>
    </w:p>
    <w:p w:rsidR="008E03B2" w:rsidRPr="008E03B2" w:rsidRDefault="008E03B2" w:rsidP="008E03B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 підтримку військової частини в сумі - 400000,00 грн.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b/>
          <w:sz w:val="28"/>
          <w:szCs w:val="28"/>
          <w:lang w:val="uk-UA"/>
        </w:rPr>
        <w:t>Бюджет розвитку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Станом на 01.01.202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залишки коштів на спеціальному рахунку бюджету по бюджету розвитку становив 3866,84 грн. Впродовж І кварталу 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бюджету розвитку фактично надійшло 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18000,00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грн, за рахунок коштів переданих із загального фонду бюджету до бюджету розвитку спеціального фонду.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 рахунок коштів бюджету розвитку спеціального фонду протягом І кварталу 202</w:t>
      </w:r>
      <w:r w:rsidRPr="008E03B2">
        <w:rPr>
          <w:rFonts w:ascii="Times New Roman" w:eastAsia="Times New Roman" w:hAnsi="Times New Roman"/>
          <w:sz w:val="28"/>
          <w:szCs w:val="28"/>
        </w:rPr>
        <w:t>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видатки проведені на суму </w:t>
      </w:r>
      <w:r w:rsidRPr="008E03B2">
        <w:rPr>
          <w:rFonts w:ascii="Times New Roman" w:eastAsia="Times New Roman" w:hAnsi="Times New Roman"/>
          <w:sz w:val="28"/>
          <w:szCs w:val="28"/>
        </w:rPr>
        <w:t>18000,00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</w:t>
      </w:r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кошти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спрямова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ні на підтримку Черкаського батальйону територіальної оборони.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8E03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</w:t>
      </w:r>
    </w:p>
    <w:p w:rsidR="008E03B2" w:rsidRPr="008E03B2" w:rsidRDefault="008E03B2" w:rsidP="008E03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E03B2" w:rsidRPr="008E03B2" w:rsidRDefault="008E03B2" w:rsidP="008E03B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Сільський голова                                                     Ігор ЧЕКАЛЕНКО</w:t>
      </w:r>
    </w:p>
    <w:p w:rsidR="008840F6" w:rsidRPr="008840F6" w:rsidRDefault="008840F6" w:rsidP="003E5F57">
      <w:pPr>
        <w:shd w:val="clear" w:color="auto" w:fill="FFFFFF"/>
        <w:spacing w:after="0" w:line="240" w:lineRule="auto"/>
        <w:ind w:left="567"/>
        <w:outlineLvl w:val="1"/>
        <w:rPr>
          <w:rFonts w:ascii="Times New Roman" w:hAnsi="Times New Roman"/>
          <w:sz w:val="20"/>
          <w:szCs w:val="20"/>
          <w:lang w:eastAsia="zh-CN"/>
        </w:rPr>
      </w:pPr>
    </w:p>
    <w:sectPr w:rsidR="008840F6" w:rsidRPr="008840F6" w:rsidSect="00364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4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29"/>
  </w:num>
  <w:num w:numId="13">
    <w:abstractNumId w:val="13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</w:num>
  <w:num w:numId="17">
    <w:abstractNumId w:val="23"/>
  </w:num>
  <w:num w:numId="18">
    <w:abstractNumId w:val="14"/>
  </w:num>
  <w:num w:numId="19">
    <w:abstractNumId w:val="28"/>
  </w:num>
  <w:num w:numId="20">
    <w:abstractNumId w:val="24"/>
  </w:num>
  <w:num w:numId="21">
    <w:abstractNumId w:val="4"/>
  </w:num>
  <w:num w:numId="22">
    <w:abstractNumId w:val="9"/>
  </w:num>
  <w:num w:numId="23">
    <w:abstractNumId w:val="15"/>
  </w:num>
  <w:num w:numId="24">
    <w:abstractNumId w:val="1"/>
  </w:num>
  <w:num w:numId="25">
    <w:abstractNumId w:val="25"/>
  </w:num>
  <w:num w:numId="26">
    <w:abstractNumId w:val="11"/>
  </w:num>
  <w:num w:numId="27">
    <w:abstractNumId w:val="12"/>
  </w:num>
  <w:num w:numId="28">
    <w:abstractNumId w:val="10"/>
  </w:num>
  <w:num w:numId="29">
    <w:abstractNumId w:val="21"/>
  </w:num>
  <w:num w:numId="30">
    <w:abstractNumId w:val="30"/>
  </w:num>
  <w:num w:numId="31">
    <w:abstractNumId w:val="31"/>
  </w:num>
  <w:num w:numId="32">
    <w:abstractNumId w:val="16"/>
  </w:num>
  <w:num w:numId="3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6"/>
    <w:rsid w:val="00044CB4"/>
    <w:rsid w:val="000539CF"/>
    <w:rsid w:val="00057195"/>
    <w:rsid w:val="0007384F"/>
    <w:rsid w:val="000943D1"/>
    <w:rsid w:val="000D7A6D"/>
    <w:rsid w:val="001638BB"/>
    <w:rsid w:val="001B7EBD"/>
    <w:rsid w:val="001D5C08"/>
    <w:rsid w:val="001E32B2"/>
    <w:rsid w:val="00202492"/>
    <w:rsid w:val="0021648B"/>
    <w:rsid w:val="00254065"/>
    <w:rsid w:val="002C0A9E"/>
    <w:rsid w:val="003034E1"/>
    <w:rsid w:val="00314EC7"/>
    <w:rsid w:val="00364D13"/>
    <w:rsid w:val="003B3AB8"/>
    <w:rsid w:val="003E3B30"/>
    <w:rsid w:val="003E5F57"/>
    <w:rsid w:val="003E74F4"/>
    <w:rsid w:val="00443551"/>
    <w:rsid w:val="00457B36"/>
    <w:rsid w:val="004605F9"/>
    <w:rsid w:val="00462F2A"/>
    <w:rsid w:val="00474210"/>
    <w:rsid w:val="004C1678"/>
    <w:rsid w:val="004D44CB"/>
    <w:rsid w:val="00522DF8"/>
    <w:rsid w:val="00534A4E"/>
    <w:rsid w:val="005426D4"/>
    <w:rsid w:val="0054358D"/>
    <w:rsid w:val="005C428E"/>
    <w:rsid w:val="005C4DC9"/>
    <w:rsid w:val="00621EAC"/>
    <w:rsid w:val="0064355B"/>
    <w:rsid w:val="00661245"/>
    <w:rsid w:val="00664D68"/>
    <w:rsid w:val="0068235B"/>
    <w:rsid w:val="00705842"/>
    <w:rsid w:val="00735956"/>
    <w:rsid w:val="00752E99"/>
    <w:rsid w:val="00770CD6"/>
    <w:rsid w:val="007C2EA3"/>
    <w:rsid w:val="00817249"/>
    <w:rsid w:val="0085743C"/>
    <w:rsid w:val="008840F6"/>
    <w:rsid w:val="008C3C2A"/>
    <w:rsid w:val="008D265E"/>
    <w:rsid w:val="008D68AF"/>
    <w:rsid w:val="008E03B2"/>
    <w:rsid w:val="009247CC"/>
    <w:rsid w:val="009B2030"/>
    <w:rsid w:val="009C5E92"/>
    <w:rsid w:val="009E6502"/>
    <w:rsid w:val="00A01AFF"/>
    <w:rsid w:val="00A02D45"/>
    <w:rsid w:val="00AA3FBB"/>
    <w:rsid w:val="00AC589E"/>
    <w:rsid w:val="00AE6614"/>
    <w:rsid w:val="00B24AE7"/>
    <w:rsid w:val="00B46728"/>
    <w:rsid w:val="00B52267"/>
    <w:rsid w:val="00B72500"/>
    <w:rsid w:val="00B72C22"/>
    <w:rsid w:val="00BA1083"/>
    <w:rsid w:val="00BC3BCE"/>
    <w:rsid w:val="00BD01AD"/>
    <w:rsid w:val="00C4028A"/>
    <w:rsid w:val="00C4466B"/>
    <w:rsid w:val="00CD11AE"/>
    <w:rsid w:val="00CF283E"/>
    <w:rsid w:val="00D87E0A"/>
    <w:rsid w:val="00DC35DC"/>
    <w:rsid w:val="00E712DC"/>
    <w:rsid w:val="00E74113"/>
    <w:rsid w:val="00E90816"/>
    <w:rsid w:val="00EE0858"/>
    <w:rsid w:val="00F04361"/>
    <w:rsid w:val="00F71573"/>
    <w:rsid w:val="00F71E04"/>
    <w:rsid w:val="00FB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ABE5"/>
  <w15:docId w15:val="{707370F5-B801-4381-9D32-9533A7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Заголовок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image" Target="media/image1.wmf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72"/>
          <c:y val="1.6713393495535233E-3"/>
          <c:w val="0.85590314215882168"/>
          <c:h val="0.83408224072248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FEB-4570-B50A-E3C4234788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FEB-4570-B50A-E3C423478828}"/>
              </c:ext>
            </c:extLst>
          </c:dPt>
          <c:dLbls>
            <c:dLbl>
              <c:idx val="0"/>
              <c:layout>
                <c:manualLayout>
                  <c:x val="8.1878592562000252E-2"/>
                  <c:y val="4.315709462126457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І квартал 2022 року, 16398949</a:t>
                    </a:r>
                  </a:p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 грн, 74,53%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09805620815024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FEB-4570-B50A-E3C423478828}"/>
                </c:ext>
              </c:extLst>
            </c:dLbl>
            <c:dLbl>
              <c:idx val="1"/>
              <c:layout>
                <c:manualLayout>
                  <c:x val="-7.7781379272990711E-2"/>
                  <c:y val="-0.324731536887880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І квартал 2022 року, 5603462,00 грн, 25,47%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FEB-4570-B50A-E3C423478828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EB-4570-B50A-E3C423478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461696734548498"/>
          <c:y val="0.20447781373352966"/>
          <c:w val="0.74394129587556501"/>
          <c:h val="0.6323084474463088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система оподаткування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EB-49D5-83A9-CDA3FF8EF5A7}"/>
              </c:ext>
            </c:extLst>
          </c:dPt>
          <c:dPt>
            <c:idx val="1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EB-49D5-83A9-CDA3FF8EF5A7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6EB-49D5-83A9-CDA3FF8EF5A7}"/>
              </c:ext>
            </c:extLst>
          </c:dPt>
          <c:dPt>
            <c:idx val="3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6EB-49D5-83A9-CDA3FF8EF5A7}"/>
              </c:ext>
            </c:extLst>
          </c:dPt>
          <c:dPt>
            <c:idx val="4"/>
            <c:bubble3D val="0"/>
            <c:spPr>
              <a:solidFill>
                <a:schemeClr val="accent2">
                  <a:shade val="53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6EB-49D5-83A9-CDA3FF8EF5A7}"/>
              </c:ext>
            </c:extLst>
          </c:dPt>
          <c:dLbls>
            <c:dLbl>
              <c:idx val="0"/>
              <c:layout>
                <c:manualLayout>
                  <c:x val="0.2635046113306983"/>
                  <c:y val="1.8663680477790084E-2"/>
                </c:manualLayout>
              </c:layout>
              <c:tx>
                <c:rich>
                  <a:bodyPr/>
                  <a:lstStyle/>
                  <a:p>
                    <a:fld id="{9EE38CBA-A68A-4F91-8FEA-1FF09F3D39B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92 %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6EB-49D5-83A9-CDA3FF8EF5A7}"/>
                </c:ext>
              </c:extLst>
            </c:dLbl>
            <c:dLbl>
              <c:idx val="1"/>
              <c:layout>
                <c:manualLayout>
                  <c:x val="-0.28086410147348184"/>
                  <c:y val="5.78577033973776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1F0EE6-CA2E-4735-9BFD-6C796448A578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1 %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4121184456686"/>
                      <c:h val="0.141676145465019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6EB-49D5-83A9-CDA3FF8EF5A7}"/>
                </c:ext>
              </c:extLst>
            </c:dLbl>
            <c:dLbl>
              <c:idx val="2"/>
              <c:layout>
                <c:manualLayout>
                  <c:x val="-0.23934984905542933"/>
                  <c:y val="-0.10451661067562525"/>
                </c:manualLayout>
              </c:layout>
              <c:tx>
                <c:rich>
                  <a:bodyPr/>
                  <a:lstStyle/>
                  <a:p>
                    <a:fld id="{5D82AF84-86EC-4938-8700-48DF1620004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68115942028981"/>
                      <c:h val="0.134210673273903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6EB-49D5-83A9-CDA3FF8EF5A7}"/>
                </c:ext>
              </c:extLst>
            </c:dLbl>
            <c:dLbl>
              <c:idx val="3"/>
              <c:layout>
                <c:manualLayout>
                  <c:x val="0.33377233478226298"/>
                  <c:y val="-7.652108995893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1DDA9C-7E88-433C-A541-A20A4EC51D16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4 %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44180939833111"/>
                      <c:h val="0.149085479656588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6EB-49D5-83A9-CDA3FF8EF5A7}"/>
                </c:ext>
              </c:extLst>
            </c:dLbl>
            <c:dLbl>
              <c:idx val="4"/>
              <c:layout>
                <c:manualLayout>
                  <c:x val="-0.35133948177426438"/>
                  <c:y val="0.4217991787980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6EB-49D5-83A9-CDA3FF8EF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Загальна</c:v>
                </c:pt>
                <c:pt idx="1">
                  <c:v>Перша група</c:v>
                </c:pt>
                <c:pt idx="2">
                  <c:v>Друга група</c:v>
                </c:pt>
                <c:pt idx="3">
                  <c:v>Третя група</c:v>
                </c:pt>
                <c:pt idx="4">
                  <c:v>Четверта група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0.92</c:v>
                </c:pt>
                <c:pt idx="1">
                  <c:v>0.01</c:v>
                </c:pt>
                <c:pt idx="2">
                  <c:v>0.03</c:v>
                </c:pt>
                <c:pt idx="3">
                  <c:v>0.04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6EB-49D5-83A9-CDA3FF8EF5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417765467063654E-2"/>
          <c:y val="0.86515358592493963"/>
          <c:w val="0.945556212588051"/>
          <c:h val="0.112449997501712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144173677895004"/>
          <c:y val="0.21194328592464573"/>
          <c:w val="0.73954955235338671"/>
          <c:h val="0.6285757113507508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кодами доходів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C59-4639-A8FF-ABC1FDB00E3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C59-4639-A8FF-ABC1FDB00E3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C59-4639-A8FF-ABC1FDB00E3E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C59-4639-A8FF-ABC1FDB00E3E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C59-4639-A8FF-ABC1FDB00E3E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C59-4639-A8FF-ABC1FDB00E3E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C59-4639-A8FF-ABC1FDB00E3E}"/>
              </c:ext>
            </c:extLst>
          </c:dPt>
          <c:dLbls>
            <c:dLbl>
              <c:idx val="0"/>
              <c:layout>
                <c:manualLayout>
                  <c:x val="-0.12912210084411394"/>
                  <c:y val="-0.1455767077267637"/>
                </c:manualLayout>
              </c:layout>
              <c:tx>
                <c:rich>
                  <a:bodyPr/>
                  <a:lstStyle/>
                  <a:p>
                    <a:fld id="{9EE38CBA-A68A-4F91-8FEA-1FF09F3D39B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7,1%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63239031879909"/>
                      <c:h val="9.320642030608436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C59-4639-A8FF-ABC1FDB00E3E}"/>
                </c:ext>
              </c:extLst>
            </c:dLbl>
            <c:dLbl>
              <c:idx val="1"/>
              <c:layout>
                <c:manualLayout>
                  <c:x val="9.0030569301366978E-2"/>
                  <c:y val="-0.1717057134375560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1F0EE6-CA2E-4735-9BFD-6C796448A578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1,06%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282406398804884"/>
                      <c:h val="0.137943409369461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C59-4639-A8FF-ABC1FDB00E3E}"/>
                </c:ext>
              </c:extLst>
            </c:dLbl>
            <c:dLbl>
              <c:idx val="2"/>
              <c:layout>
                <c:manualLayout>
                  <c:x val="0.21958734901220336"/>
                  <c:y val="-6.7189249720044794E-2"/>
                </c:manualLayout>
              </c:layout>
              <c:tx>
                <c:rich>
                  <a:bodyPr/>
                  <a:lstStyle/>
                  <a:p>
                    <a:fld id="{5D82AF84-86EC-4938-8700-48DF1620004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37198067632846"/>
                      <c:h val="0.134210673273903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C59-4639-A8FF-ABC1FDB00E3E}"/>
                </c:ext>
              </c:extLst>
            </c:dLbl>
            <c:dLbl>
              <c:idx val="3"/>
              <c:layout>
                <c:manualLayout>
                  <c:x val="0.17241864035770232"/>
                  <c:y val="0.18850317282568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1DDA9C-7E88-433C-A541-A20A4EC51D16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6,9%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47299077733857"/>
                      <c:h val="0.149085479656588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C59-4639-A8FF-ABC1FDB00E3E}"/>
                </c:ext>
              </c:extLst>
            </c:dLbl>
            <c:dLbl>
              <c:idx val="4"/>
              <c:layout>
                <c:manualLayout>
                  <c:x val="-0.34694739244550954"/>
                  <c:y val="4.406950530959665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C899B8D-2849-45CC-9211-74939C6F7F01}" type="CATEGORYNAME">
                      <a:rPr lang="ru-RU" sz="8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53,4%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3971865176932"/>
                      <c:h val="0.134210673273903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C59-4639-A8FF-ABC1FDB00E3E}"/>
                </c:ext>
              </c:extLst>
            </c:dLbl>
            <c:dLbl>
              <c:idx val="5"/>
              <c:layout>
                <c:manualLayout>
                  <c:x val="-0.16683714930890556"/>
                  <c:y val="0.10824934677118321"/>
                </c:manualLayout>
              </c:layout>
              <c:tx>
                <c:rich>
                  <a:bodyPr/>
                  <a:lstStyle/>
                  <a:p>
                    <a:fld id="{CF1E75D7-13BC-4244-8B2D-0CE1E787EBD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C59-4639-A8FF-ABC1FDB00E3E}"/>
                </c:ext>
              </c:extLst>
            </c:dLbl>
            <c:dLbl>
              <c:idx val="6"/>
              <c:layout>
                <c:manualLayout>
                  <c:x val="-0.18501758426441753"/>
                  <c:y val="-0.11944755505785742"/>
                </c:manualLayout>
              </c:layout>
              <c:tx>
                <c:rich>
                  <a:bodyPr/>
                  <a:lstStyle/>
                  <a:p>
                    <a:fld id="{A457EE5B-3BC3-4B9A-A2E2-C786C6BA152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C59-4639-A8FF-ABC1FDB00E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ПДФО</c:v>
                </c:pt>
                <c:pt idx="1">
                  <c:v>Акцизний податок</c:v>
                </c:pt>
                <c:pt idx="2">
                  <c:v>Податок на майно</c:v>
                </c:pt>
                <c:pt idx="3">
                  <c:v>Єдиний податок</c:v>
                </c:pt>
                <c:pt idx="4">
                  <c:v>Земельний податок</c:v>
                </c:pt>
                <c:pt idx="5">
                  <c:v>Орендна плата</c:v>
                </c:pt>
                <c:pt idx="6">
                  <c:v>Плата за адм.посл.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9.0999999999999998E-2</c:v>
                </c:pt>
                <c:pt idx="1">
                  <c:v>1.06E-2</c:v>
                </c:pt>
                <c:pt idx="2">
                  <c:v>2.5000000000000001E-2</c:v>
                </c:pt>
                <c:pt idx="3">
                  <c:v>6.9000000000000006E-2</c:v>
                </c:pt>
                <c:pt idx="4">
                  <c:v>0.53400000000000003</c:v>
                </c:pt>
                <c:pt idx="5">
                  <c:v>2.3E-2</c:v>
                </c:pt>
                <c:pt idx="6" formatCode="0%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C59-4639-A8FF-ABC1FDB00E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026021944885353E-2"/>
          <c:y val="0.88755000249828797"/>
          <c:w val="0.945556212588051"/>
          <c:h val="0.112449997501712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9.4564171258435442E-2"/>
          <c:w val="0.90189520624303365"/>
          <c:h val="0.85387594063251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190-4B0D-A1AF-FB7E57A042E3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90-4B0D-A1AF-FB7E57A042E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23000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190-4B0D-A1AF-FB7E57A042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190-4B0D-A1AF-FB7E57A042E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90-4B0D-A1AF-FB7E57A042E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637729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190-4B0D-A1AF-FB7E57A042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4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92E-2"/>
                  <c:y val="-0.10596765197992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90-4B0D-A1AF-FB7E57A042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393703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8190-4B0D-A1AF-FB7E57A042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6783613871425671E-2"/>
                  <c:y val="-0.1032258064516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90-4B0D-A1AF-FB7E57A042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31414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190-4B0D-A1AF-FB7E57A042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88896"/>
        <c:axId val="125090432"/>
        <c:axId val="0"/>
      </c:bar3DChart>
      <c:catAx>
        <c:axId val="12508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90432"/>
        <c:crosses val="autoZero"/>
        <c:auto val="1"/>
        <c:lblAlgn val="ctr"/>
        <c:lblOffset val="100"/>
        <c:noMultiLvlLbl val="0"/>
      </c:catAx>
      <c:valAx>
        <c:axId val="1250904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8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16056625179917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E94-494A-BCCB-1E88CC3C380C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94-494A-BCCB-1E88CC3C380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329898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E94-494A-BCCB-1E88CC3C38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E94-494A-BCCB-1E88CC3C380C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6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94-494A-BCCB-1E88CC3C380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379304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E94-494A-BCCB-1E88CC3C38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7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748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94-494A-BCCB-1E88CC3C380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564095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E94-494A-BCCB-1E88CC3C38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0723860589812333"/>
                  <c:y val="-4.9079754601226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94-494A-BCCB-1E88CC3C38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559048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EE94-494A-BCCB-1E88CC3C38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24896"/>
        <c:axId val="125043072"/>
        <c:axId val="0"/>
      </c:bar3DChart>
      <c:catAx>
        <c:axId val="12502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43072"/>
        <c:crosses val="autoZero"/>
        <c:auto val="1"/>
        <c:lblAlgn val="ctr"/>
        <c:lblOffset val="100"/>
        <c:noMultiLvlLbl val="0"/>
      </c:catAx>
      <c:valAx>
        <c:axId val="125043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2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9999983761567848"/>
          <c:h val="0.146301888234844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499E-2"/>
          <c:y val="0.26569030844828606"/>
          <c:w val="0.90189520624303365"/>
          <c:h val="0.685088212657628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B4-409E-8E2E-7B28348D577C}"/>
              </c:ext>
            </c:extLst>
          </c:dPt>
          <c:dLbls>
            <c:dLbl>
              <c:idx val="0"/>
              <c:layout>
                <c:manualLayout>
                  <c:x val="-1.213839971248412E-2"/>
                  <c:y val="-5.779648511677983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B4-409E-8E2E-7B28348D577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347610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AB4-409E-8E2E-7B28348D57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AB4-409E-8E2E-7B28348D577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B4-409E-8E2E-7B28348D577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435644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9AB4-409E-8E2E-7B28348D57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6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B4-409E-8E2E-7B28348D57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208177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9AB4-409E-8E2E-7B28348D57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4042553191489363"/>
                  <c:y val="-5.9501673484566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B4-409E-8E2E-7B28348D57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124546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9AB4-409E-8E2E-7B28348D57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847808"/>
        <c:axId val="127931520"/>
        <c:axId val="0"/>
      </c:bar3DChart>
      <c:catAx>
        <c:axId val="1278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31520"/>
        <c:crosses val="autoZero"/>
        <c:auto val="1"/>
        <c:lblAlgn val="ctr"/>
        <c:lblOffset val="100"/>
        <c:noMultiLvlLbl val="0"/>
      </c:catAx>
      <c:valAx>
        <c:axId val="1279315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84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91092451711E-2"/>
          <c:y val="0"/>
          <c:w val="0.88319479177891813"/>
          <c:h val="0.21720442839381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31F-4855-8C57-F1B6BFA96C0E}"/>
              </c:ext>
            </c:extLst>
          </c:dPt>
          <c:dLbls>
            <c:dLbl>
              <c:idx val="0"/>
              <c:layout>
                <c:manualLayout>
                  <c:x val="8.9186176142697655E-3"/>
                  <c:y val="-7.276398142539884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1F-4855-8C57-F1B6BFA96C0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183069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31F-4855-8C57-F1B6BFA96C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31F-4855-8C57-F1B6BFA96C0E}"/>
              </c:ext>
            </c:extLst>
          </c:dPt>
          <c:dLbls>
            <c:dLbl>
              <c:idx val="0"/>
              <c:layout>
                <c:manualLayout>
                  <c:x val="0"/>
                  <c:y val="-6.825268636292262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1F-4855-8C57-F1B6BFA96C0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331399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31F-4855-8C57-F1B6BFA96C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3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34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1F-4855-8C57-F1B6BFA96C0E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243873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31F-4855-8C57-F1B6BFA96C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31F-4855-8C57-F1B6BFA96C0E}"/>
              </c:ext>
            </c:extLst>
          </c:dPt>
          <c:dLbls>
            <c:dLbl>
              <c:idx val="0"/>
              <c:layout>
                <c:manualLayout>
                  <c:x val="0.14261744966442952"/>
                  <c:y val="-6.0105184072126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1F-4855-8C57-F1B6BFA96C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223121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B31F-4855-8C57-F1B6BFA96C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984000"/>
        <c:axId val="127985536"/>
        <c:axId val="0"/>
      </c:bar3DChart>
      <c:catAx>
        <c:axId val="12798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85536"/>
        <c:crosses val="autoZero"/>
        <c:auto val="1"/>
        <c:lblAlgn val="ctr"/>
        <c:lblOffset val="100"/>
        <c:noMultiLvlLbl val="0"/>
      </c:catAx>
      <c:valAx>
        <c:axId val="12798553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98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298"/>
          <c:y val="2.7469322744913351E-2"/>
          <c:w val="0.88251091346742283"/>
          <c:h val="0.161382538026120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"/>
          <c:w val="0.90189520624303365"/>
          <c:h val="0.93442519685039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69-4EBE-ABC2-0274614DB638}"/>
              </c:ext>
            </c:extLst>
          </c:dPt>
          <c:dLbls>
            <c:dLbl>
              <c:idx val="0"/>
              <c:layout>
                <c:manualLayout>
                  <c:x val="8.5374625887914089E-3"/>
                  <c:y val="-0.151152762346424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9-4EBE-ABC2-0274614DB63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155343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E69-4EBE-ABC2-0274614DB6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E69-4EBE-ABC2-0274614DB638}"/>
              </c:ext>
            </c:extLst>
          </c:dPt>
          <c:dLbls>
            <c:dLbl>
              <c:idx val="0"/>
              <c:layout>
                <c:manualLayout>
                  <c:x val="8.9186176142698071E-3"/>
                  <c:y val="-9.415093024876322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69-4EBE-ABC2-0274614DB63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171610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E69-4EBE-ABC2-0274614DB6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83723522853958E-2"/>
                  <c:y val="-7.0796460176991274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69-4EBE-ABC2-0274614DB63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176824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E69-4EBE-ABC2-0274614DB6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1011419249592169"/>
                  <c:y val="-7.3619631901840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69-4EBE-ABC2-0274614DB6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201046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E69-4EBE-ABC2-0274614DB6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86566646543"/>
          <c:y val="0"/>
          <c:w val="0.8898421604391944"/>
          <c:h val="0.16439012168933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18086395359851"/>
          <c:y val="4.4145701299532679E-2"/>
          <c:w val="0.74027537826954537"/>
          <c:h val="0.83439102632496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18-4806-AD99-417AB22A23CD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18-4806-AD99-417AB22A23C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74440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118-4806-AD99-417AB22A23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118-4806-AD99-417AB22A23CD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18-4806-AD99-417AB22A23C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58126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118-4806-AD99-417AB22A23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97323906382191"/>
          <c:y val="0.15244364779605798"/>
          <c:w val="0.72866359327274233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87F-4BA6-8A47-103AA2061868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F-4BA6-8A47-103AA206186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348789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87F-4BA6-8A47-103AA20618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87F-4BA6-8A47-103AA2061868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F-4BA6-8A47-103AA206186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334691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87F-4BA6-8A47-103AA20618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559247793862634"/>
          <c:y val="7.2267389340560068E-2"/>
          <c:w val="0.70613672271390215"/>
          <c:h val="0.86257246299497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C40-4317-8AE5-8123C3971D26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40-4317-8AE5-8123C3971D26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62556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C40-4317-8AE5-8123C3971D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C40-4317-8AE5-8123C3971D26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40-4317-8AE5-8123C3971D26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61334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DC40-4317-8AE5-8123C3971D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86566646543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8300054739146912"/>
          <c:w val="0.90189520624303232"/>
          <c:h val="0.765568234451976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7.8431372549019607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8F-40FD-87F2-E9A1BC70200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4336185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978F-40FD-87F2-E9A1BC702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297E-3"/>
                  <c:y val="-0.12834224598930483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8F-40FD-87F2-E9A1BC70200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5449543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978F-40FD-87F2-E9A1BC702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8F-40FD-87F2-E9A1BC70200A}"/>
              </c:ext>
            </c:extLst>
          </c:dPt>
          <c:dLbls>
            <c:dLbl>
              <c:idx val="0"/>
              <c:layout>
                <c:manualLayout>
                  <c:x val="2.6755852842809284E-2"/>
                  <c:y val="-0.163992869875222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78F-40FD-87F2-E9A1BC70200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6581486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978F-40FD-87F2-E9A1BC7020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7065E-3"/>
                  <c:y val="-0.19251336898395729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8F-40FD-87F2-E9A1BC70200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8270067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978F-40FD-87F2-E9A1BC70200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4.4593263634687803E-2"/>
                  <c:y val="-6.7736185383244205E-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39464882943139"/>
                      <c:h val="8.848484848484848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78F-40FD-87F2-E9A1BC70200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15953808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978F-40FD-87F2-E9A1BC7020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438528"/>
        <c:axId val="94440064"/>
        <c:axId val="0"/>
      </c:bar3DChart>
      <c:catAx>
        <c:axId val="9443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40064"/>
        <c:crosses val="autoZero"/>
        <c:auto val="1"/>
        <c:lblAlgn val="ctr"/>
        <c:lblOffset val="100"/>
        <c:noMultiLvlLbl val="0"/>
      </c:catAx>
      <c:valAx>
        <c:axId val="944400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43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8030003774611788E-2"/>
          <c:y val="0"/>
          <c:w val="0.93745134700971722"/>
          <c:h val="0.175870422614285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7DD-4275-B589-5A81F605F300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D-4275-B589-5A81F605F30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878958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7DD-4275-B589-5A81F605F3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7DD-4275-B589-5A81F605F300}"/>
              </c:ext>
            </c:extLst>
          </c:dPt>
          <c:dLbls>
            <c:dLbl>
              <c:idx val="0"/>
              <c:layout>
                <c:manualLayout>
                  <c:x val="0"/>
                  <c:y val="-8.873857843495408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DD-4275-B589-5A81F605F30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1215185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7DD-4275-B589-5A81F605F3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91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DD-4275-B589-5A81F605F30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1293256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87DD-4275-B589-5A81F605F3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7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43658810325477"/>
                  <c:y val="-5.3547523427041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DD-4275-B589-5A81F605F3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2298097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7DD-4275-B589-5A81F605F3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682304"/>
        <c:axId val="135700480"/>
        <c:axId val="0"/>
      </c:bar3DChart>
      <c:catAx>
        <c:axId val="13568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00480"/>
        <c:crosses val="autoZero"/>
        <c:auto val="1"/>
        <c:lblAlgn val="ctr"/>
        <c:lblOffset val="100"/>
        <c:noMultiLvlLbl val="0"/>
      </c:catAx>
      <c:valAx>
        <c:axId val="1357004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68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1.0570483003143807E-3"/>
          <c:w val="1"/>
          <c:h val="0.1437751369979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7.9362906961108051E-2"/>
          <c:w val="0.90189520624303365"/>
          <c:h val="0.86588773177546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48-4211-8C97-0C4E22D748E0}"/>
              </c:ext>
            </c:extLst>
          </c:dPt>
          <c:dLbls>
            <c:dLbl>
              <c:idx val="0"/>
              <c:layout>
                <c:manualLayout>
                  <c:x val="2.6755852842809399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48-4211-8C97-0C4E22D748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407928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4848-4211-8C97-0C4E22D748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848-4211-8C97-0C4E22D748E0}"/>
              </c:ext>
            </c:extLst>
          </c:dPt>
          <c:dLbls>
            <c:dLbl>
              <c:idx val="0"/>
              <c:layout>
                <c:manualLayout>
                  <c:x val="4.4902227299073623E-2"/>
                  <c:y val="-0.2364744729489458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48-4211-8C97-0C4E22D748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138433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4848-4211-8C97-0C4E22D748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99E-2"/>
                  <c:y val="-0.11373840167614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48-4211-8C97-0C4E22D748E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169776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4848-4211-8C97-0C4E22D748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7352561343090828E-2"/>
                  <c:y val="-9.867172675521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48-4211-8C97-0C4E22D748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132388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4848-4211-8C97-0C4E22D748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732224"/>
        <c:axId val="135779072"/>
        <c:axId val="0"/>
      </c:bar3DChart>
      <c:catAx>
        <c:axId val="1357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79072"/>
        <c:crosses val="autoZero"/>
        <c:auto val="1"/>
        <c:lblAlgn val="ctr"/>
        <c:lblOffset val="100"/>
        <c:noMultiLvlLbl val="0"/>
      </c:catAx>
      <c:valAx>
        <c:axId val="135779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73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30520539218E-2"/>
          <c:y val="0"/>
          <c:w val="0.89999983048405274"/>
          <c:h val="0.16439012168933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6273111426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A0C-458E-8839-F6B274EEF0B8}"/>
              </c:ext>
            </c:extLst>
          </c:dPt>
          <c:dLbls>
            <c:dLbl>
              <c:idx val="0"/>
              <c:layout>
                <c:manualLayout>
                  <c:x val="1.3377926421404668E-2"/>
                  <c:y val="-6.998316522819128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C-458E-8839-F6B274EEF0B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274439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A0C-458E-8839-F6B274EEF0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A0C-458E-8839-F6B274EEF0B8}"/>
              </c:ext>
            </c:extLst>
          </c:dPt>
          <c:dLbls>
            <c:dLbl>
              <c:idx val="0"/>
              <c:layout>
                <c:manualLayout>
                  <c:x val="4.9052396878483832E-2"/>
                  <c:y val="-0.26400630934809738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0C-458E-8839-F6B274EEF0B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59448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3A0C-458E-8839-F6B274EEF0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125E-3"/>
                  <c:y val="-0.15678159900165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0C-458E-8839-F6B274EEF0B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71247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3A0C-458E-8839-F6B274EEF0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2.6755852842809364E-2"/>
                  <c:y val="-9.6540627514078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0C-458E-8839-F6B274EEF0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129117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3A0C-458E-8839-F6B274EEF0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979008"/>
        <c:axId val="135980544"/>
        <c:axId val="0"/>
      </c:bar3DChart>
      <c:catAx>
        <c:axId val="13597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980544"/>
        <c:crosses val="autoZero"/>
        <c:auto val="1"/>
        <c:lblAlgn val="ctr"/>
        <c:lblOffset val="100"/>
        <c:noMultiLvlLbl val="0"/>
      </c:catAx>
      <c:valAx>
        <c:axId val="13598054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97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8918705395939221E-2"/>
          <c:y val="0"/>
          <c:w val="0.9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696711906011E-2"/>
          <c:y val="0.18902131021013074"/>
          <c:w val="0.90189520624303365"/>
          <c:h val="0.73777038561886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87-4A88-AB1E-451FB6190B3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7-4A88-AB1E-451FB6190B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214926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C87-4A88-AB1E-451FB6190B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C87-4A88-AB1E-451FB6190B3A}"/>
              </c:ext>
            </c:extLst>
          </c:dPt>
          <c:dLbls>
            <c:dLbl>
              <c:idx val="0"/>
              <c:layout>
                <c:manualLayout>
                  <c:x val="4.9052396878483756E-2"/>
                  <c:y val="-0.1259614117591939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7-4A88-AB1E-451FB6190B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235283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C87-4A88-AB1E-451FB6190B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0.11061161981007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7-4A88-AB1E-451FB6190B3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262369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C87-4A88-AB1E-451FB6190B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6499442586399107"/>
                  <c:y val="-4.4626255113425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87-4A88-AB1E-451FB6190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293004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BC87-4A88-AB1E-451FB6190B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302978432043821"/>
          <c:y val="0"/>
          <c:w val="0.88697028449333282"/>
          <c:h val="0.166432704885658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37606403417935"/>
          <c:y val="0.15362815789933132"/>
          <c:w val="0.7819614049484509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09-4E47-9131-555EE3A75BDA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09-4E47-9131-555EE3A75BD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427801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109-4E47-9131-555EE3A75B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109-4E47-9131-555EE3A75BDA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09-4E47-9131-555EE3A75BD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427937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9109-4E47-9131-555EE3A75B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33962312622833"/>
          <c:y val="0.15244364779605798"/>
          <c:w val="0.75507636382320087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D4B-4701-8017-0C18064415FD}"/>
              </c:ext>
            </c:extLst>
          </c:dPt>
          <c:dLbls>
            <c:dLbl>
              <c:idx val="0"/>
              <c:layout>
                <c:manualLayout>
                  <c:x val="6.5633710549639693E-2"/>
                  <c:y val="-0.21659243514806048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4B-4701-8017-0C18064415F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12300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D4B-4701-8017-0C18064415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D4B-4701-8017-0C18064415FD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4B-4701-8017-0C18064415F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24415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D4B-4701-8017-0C18064415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A1-4A5B-ACA0-32A73046EC60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A1-4A5B-ACA0-32A73046EC6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498361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AA1-4A5B-ACA0-32A73046EC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AA1-4A5B-ACA0-32A73046EC60}"/>
              </c:ext>
            </c:extLst>
          </c:dPt>
          <c:dLbls>
            <c:dLbl>
              <c:idx val="0"/>
              <c:layout>
                <c:manualLayout>
                  <c:x val="4.9052396878483756E-2"/>
                  <c:y val="-0.1259614117591939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A1-4A5B-ACA0-32A73046EC6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609106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AA1-4A5B-ACA0-32A73046EC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0.11061161981007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A1-4A5B-ACA0-32A73046EC6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983739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5AA1-4A5B-ACA0-32A73046EC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4087018837383822"/>
                  <c:y val="-0.138243591891439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A1-4A5B-ACA0-32A73046EC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1071893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5AA1-4A5B-ACA0-32A73046EC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4.971687049757075E-3"/>
          <c:w val="1"/>
          <c:h val="0.11346088121963475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076434370937275E-2"/>
          <c:y val="3.1750912402440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rgbClr val="4472C4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B20-47ED-BA1B-8249D46A311D}"/>
              </c:ext>
            </c:extLst>
          </c:dPt>
          <c:dPt>
            <c:idx val="1"/>
            <c:bubble3D val="0"/>
            <c:explosion val="5"/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B20-47ED-BA1B-8249D46A311D}"/>
              </c:ext>
            </c:extLst>
          </c:dPt>
          <c:dPt>
            <c:idx val="2"/>
            <c:bubble3D val="0"/>
            <c:explosion val="9"/>
            <c:spPr>
              <a:solidFill>
                <a:srgbClr val="5B9BD5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B20-47ED-BA1B-8249D46A311D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B20-47ED-BA1B-8249D46A311D}"/>
              </c:ext>
            </c:extLst>
          </c:dPt>
          <c:dPt>
            <c:idx val="4"/>
            <c:bubble3D val="0"/>
            <c:explosion val="99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B20-47ED-BA1B-8249D46A311D}"/>
              </c:ext>
            </c:extLst>
          </c:dPt>
          <c:dPt>
            <c:idx val="5"/>
            <c:bubble3D val="0"/>
            <c:explosion val="88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9B20-47ED-BA1B-8249D46A311D}"/>
              </c:ext>
            </c:extLst>
          </c:dPt>
          <c:dPt>
            <c:idx val="6"/>
            <c:bubble3D val="0"/>
            <c:explosion val="84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9B20-47ED-BA1B-8249D46A311D}"/>
              </c:ext>
            </c:extLst>
          </c:dPt>
          <c:dPt>
            <c:idx val="7"/>
            <c:bubble3D val="0"/>
            <c:explosion val="59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9B20-47ED-BA1B-8249D46A311D}"/>
              </c:ext>
            </c:extLst>
          </c:dPt>
          <c:dPt>
            <c:idx val="8"/>
            <c:bubble3D val="0"/>
            <c:explosion val="54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9B20-47ED-BA1B-8249D46A311D}"/>
              </c:ext>
            </c:extLst>
          </c:dPt>
          <c:dLbls>
            <c:dLbl>
              <c:idx val="0"/>
              <c:layout>
                <c:manualLayout>
                  <c:x val="-6.6239033204961509E-2"/>
                  <c:y val="-0.1244911668363355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Державне управління; 2661,4тис.грн
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20-47ED-BA1B-8249D46A311D}"/>
                </c:ext>
              </c:extLst>
            </c:dLbl>
            <c:dLbl>
              <c:idx val="1"/>
              <c:layout>
                <c:manualLayout>
                  <c:x val="0.16751064995380255"/>
                  <c:y val="-9.082334365196444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дошкільної освіти; 2180,4тис.грн
14%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9B20-47ED-BA1B-8249D46A311D}"/>
                </c:ext>
              </c:extLst>
            </c:dLbl>
            <c:dLbl>
              <c:idx val="2"/>
              <c:layout>
                <c:manualLayout>
                  <c:x val="-6.9087415474934813E-2"/>
                  <c:y val="-0.11081808045762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загальної середньої освіти, забезп.діяльності центру; 7188,3 тис.грн
45%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9B20-47ED-BA1B-8249D46A311D}"/>
                </c:ext>
              </c:extLst>
            </c:dLbl>
            <c:dLbl>
              <c:idx val="3"/>
              <c:layout>
                <c:manualLayout>
                  <c:x val="-4.7767393561786123E-2"/>
                  <c:y val="-0.259415923932991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Охорона здоров"я; 175 тис.грн
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20-47ED-BA1B-8249D46A311D}"/>
                </c:ext>
              </c:extLst>
            </c:dLbl>
            <c:dLbl>
              <c:idx val="4"/>
              <c:layout>
                <c:manualLayout>
                  <c:x val="0"/>
                  <c:y val="0.1076298312315183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Соціальний захист та соціальне забезпечення;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339,3</a:t>
                    </a:r>
                    <a:r>
                      <a:rPr lang="ru-RU" baseline="0"/>
                      <a:t> </a:t>
                    </a:r>
                    <a:r>
                      <a:rPr lang="ru-RU"/>
                      <a:t>тис.грн
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20-47ED-BA1B-8249D46A311D}"/>
                </c:ext>
              </c:extLst>
            </c:dLbl>
            <c:dLbl>
              <c:idx val="5"/>
              <c:layout>
                <c:manualLayout>
                  <c:x val="-0.13746199949305404"/>
                  <c:y val="0.202993372530280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Культура і мистецтво;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 678,2</a:t>
                    </a:r>
                    <a:r>
                      <a:rPr lang="ru-RU"/>
                      <a:t>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9B20-47ED-BA1B-8249D46A311D}"/>
                </c:ext>
              </c:extLst>
            </c:dLbl>
            <c:dLbl>
              <c:idx val="6"/>
              <c:layout>
                <c:manualLayout>
                  <c:x val="-0.21326432326800271"/>
                  <c:y val="0.1046134668522635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Житлово-комунальне господарство;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639,5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D-9B20-47ED-BA1B-8249D46A311D}"/>
                </c:ext>
              </c:extLst>
            </c:dLbl>
            <c:dLbl>
              <c:idx val="7"/>
              <c:layout>
                <c:manualLayout>
                  <c:x val="-0.29848799273922594"/>
                  <c:y val="6.57395134315335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Забезпечення діяльності місцевої пожежної команди; 472,7 тис.грн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B20-47ED-BA1B-8249D46A311D}"/>
                </c:ext>
              </c:extLst>
            </c:dLbl>
            <c:dLbl>
              <c:idx val="8"/>
              <c:layout>
                <c:manualLayout>
                  <c:x val="-0.16025510829837858"/>
                  <c:y val="1.99727144924826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Міжбюджетні трансферти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1604,1 тис.грн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1-9B20-47ED-BA1B-8249D46A311D}"/>
                </c:ext>
              </c:extLst>
            </c:dLbl>
            <c:dLbl>
              <c:idx val="9"/>
              <c:layout>
                <c:manualLayout>
                  <c:x val="-0.18928115206256524"/>
                  <c:y val="-8.41199731300079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Міжбюджетні трансферти;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1604,1 тис.грн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B20-47ED-BA1B-8249D46A311D}"/>
                </c:ext>
              </c:extLst>
            </c:dLbl>
            <c:dLbl>
              <c:idx val="10"/>
              <c:layout>
                <c:manualLayout>
                  <c:x val="-6.9695020516801709E-2"/>
                  <c:y val="-0.147757255936675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B20-47ED-BA1B-8249D46A311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управління; 2661,4тис.грн</c:v>
                </c:pt>
                <c:pt idx="1">
                  <c:v>Надання дошкільної освіти; 2180,4тис.грн</c:v>
                </c:pt>
                <c:pt idx="2">
                  <c:v>Надання загальної середньої освіти, забезп.діяльності центру; 7188,3 тис.грн</c:v>
                </c:pt>
                <c:pt idx="3">
                  <c:v>Охорона здоров"я; 175 тис.грн</c:v>
                </c:pt>
                <c:pt idx="4">
                  <c:v>Соціальний захист та соціальне забезпечення; 339,3тис.грн</c:v>
                </c:pt>
                <c:pt idx="5">
                  <c:v>Культура і мистецтво; 678,2 тис.грн</c:v>
                </c:pt>
                <c:pt idx="6">
                  <c:v>Житлово-комунальне господарство; 639,5тис.грн</c:v>
                </c:pt>
                <c:pt idx="7">
                  <c:v>Забезпечення діяльності місцевої пожежної команди; 472,7 тис.грн</c:v>
                </c:pt>
                <c:pt idx="8">
                  <c:v>Міжбюджетні трансферти; 1604,1 тис.грн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0.17</c:v>
                </c:pt>
                <c:pt idx="1">
                  <c:v>0.14000000000000001</c:v>
                </c:pt>
                <c:pt idx="2" formatCode="0%">
                  <c:v>0.45</c:v>
                </c:pt>
                <c:pt idx="3" formatCode="0%">
                  <c:v>1.0000000000000005E-2</c:v>
                </c:pt>
                <c:pt idx="4" formatCode="0%">
                  <c:v>2.0000000000000011E-2</c:v>
                </c:pt>
                <c:pt idx="5" formatCode="0%">
                  <c:v>4.0000000000000022E-2</c:v>
                </c:pt>
                <c:pt idx="6" formatCode="0%">
                  <c:v>4.0000000000000022E-2</c:v>
                </c:pt>
                <c:pt idx="7" formatCode="0%">
                  <c:v>3.0000000000000002E-2</c:v>
                </c:pt>
                <c:pt idx="8" formatCode="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B20-47ED-BA1B-8249D46A31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704E-2"/>
          <c:w val="0.8227566345873436"/>
          <c:h val="0.653474409448819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15978744.439999988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3C-4829-9C7C-425F5DA36AA4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314265.38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3C-4829-9C7C-425F5DA36A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5172864"/>
        <c:axId val="155174400"/>
      </c:barChart>
      <c:catAx>
        <c:axId val="15517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5174400"/>
        <c:crosses val="autoZero"/>
        <c:auto val="1"/>
        <c:lblAlgn val="ctr"/>
        <c:lblOffset val="100"/>
        <c:noMultiLvlLbl val="0"/>
      </c:catAx>
      <c:valAx>
        <c:axId val="1551744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5172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868168133395144"/>
          <c:y val="0.85937401574803163"/>
          <c:w val="0.44753859811641195"/>
          <c:h val="0.14062598425196851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4257970313454"/>
          <c:y val="1.1774838824758561E-2"/>
          <c:w val="0.89005741469816402"/>
          <c:h val="0.70398415003949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Січень-березень 2021 року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53128555176388E-3"/>
                  <c:y val="-6.796116504854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FF-4900-972A-D3DB3604054F}"/>
                </c:ext>
              </c:extLst>
            </c:dLbl>
            <c:dLbl>
              <c:idx val="1"/>
              <c:layout>
                <c:manualLayout>
                  <c:x val="0"/>
                  <c:y val="-2.9126213592233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FF-4900-972A-D3DB3604054F}"/>
                </c:ext>
              </c:extLst>
            </c:dLbl>
            <c:dLbl>
              <c:idx val="2"/>
              <c:layout>
                <c:manualLayout>
                  <c:x val="-9.1012514220705151E-3"/>
                  <c:y val="-9.70873786407767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FF-4900-972A-D3DB3604054F}"/>
                </c:ext>
              </c:extLst>
            </c:dLbl>
            <c:dLbl>
              <c:idx val="3"/>
              <c:layout>
                <c:manualLayout>
                  <c:x val="0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FF-4900-972A-D3DB3604054F}"/>
                </c:ext>
              </c:extLst>
            </c:dLbl>
            <c:dLbl>
              <c:idx val="4"/>
              <c:layout>
                <c:manualLayout>
                  <c:x val="-8.342717427781067E-17"/>
                  <c:y val="-1.2944983818770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FF-4900-972A-D3DB3604054F}"/>
                </c:ext>
              </c:extLst>
            </c:dLbl>
            <c:dLbl>
              <c:idx val="6"/>
              <c:layout>
                <c:manualLayout>
                  <c:x val="-6.825938566552895E-3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FF-4900-972A-D3DB3604054F}"/>
                </c:ext>
              </c:extLst>
            </c:dLbl>
            <c:dLbl>
              <c:idx val="8"/>
              <c:layout>
                <c:manualLayout>
                  <c:x val="0"/>
                  <c:y val="-1.294498381877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6FF-4900-972A-D3DB360405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Лист1!$B$2:$B$10</c:f>
              <c:numCache>
                <c:formatCode>0.00;[Red]0.00</c:formatCode>
                <c:ptCount val="9"/>
                <c:pt idx="0">
                  <c:v>2435</c:v>
                </c:pt>
                <c:pt idx="1">
                  <c:v>1932</c:v>
                </c:pt>
                <c:pt idx="2">
                  <c:v>5465.5</c:v>
                </c:pt>
                <c:pt idx="3">
                  <c:v>115.4</c:v>
                </c:pt>
                <c:pt idx="4">
                  <c:v>453.4</c:v>
                </c:pt>
                <c:pt idx="5">
                  <c:v>7</c:v>
                </c:pt>
                <c:pt idx="6">
                  <c:v>369.6</c:v>
                </c:pt>
                <c:pt idx="7">
                  <c:v>9.1</c:v>
                </c:pt>
                <c:pt idx="8">
                  <c:v>430.3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6FF-4900-972A-D3DB360405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Січень-березень 2022 року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012514220705151E-3"/>
                  <c:y val="-3.883495145631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6FF-4900-972A-D3DB3604054F}"/>
                </c:ext>
              </c:extLst>
            </c:dLbl>
            <c:dLbl>
              <c:idx val="1"/>
              <c:layout>
                <c:manualLayout>
                  <c:x val="-4.1713587138905421E-17"/>
                  <c:y val="-3.236245954692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6FF-4900-972A-D3DB3604054F}"/>
                </c:ext>
              </c:extLst>
            </c:dLbl>
            <c:dLbl>
              <c:idx val="2"/>
              <c:layout>
                <c:manualLayout>
                  <c:x val="3.64050056882821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6FF-4900-972A-D3DB3604054F}"/>
                </c:ext>
              </c:extLst>
            </c:dLbl>
            <c:dLbl>
              <c:idx val="3"/>
              <c:layout>
                <c:manualLayout>
                  <c:x val="0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6FF-4900-972A-D3DB3604054F}"/>
                </c:ext>
              </c:extLst>
            </c:dLbl>
            <c:dLbl>
              <c:idx val="4"/>
              <c:layout>
                <c:manualLayout>
                  <c:x val="0"/>
                  <c:y val="-9.708737864077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6FF-4900-972A-D3DB3604054F}"/>
                </c:ext>
              </c:extLst>
            </c:dLbl>
            <c:dLbl>
              <c:idx val="5"/>
              <c:layout>
                <c:manualLayout>
                  <c:x val="-4.5506257110353504E-3"/>
                  <c:y val="-1.9417475728155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6FF-4900-972A-D3DB3604054F}"/>
                </c:ext>
              </c:extLst>
            </c:dLbl>
            <c:dLbl>
              <c:idx val="6"/>
              <c:layout>
                <c:manualLayout>
                  <c:x val="-8.342717427781067E-17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6FF-4900-972A-D3DB3604054F}"/>
                </c:ext>
              </c:extLst>
            </c:dLbl>
            <c:dLbl>
              <c:idx val="7"/>
              <c:layout>
                <c:manualLayout>
                  <c:x val="0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6FF-4900-972A-D3DB3604054F}"/>
                </c:ext>
              </c:extLst>
            </c:dLbl>
            <c:dLbl>
              <c:idx val="8"/>
              <c:layout>
                <c:manualLayout>
                  <c:x val="0"/>
                  <c:y val="-1.294498381877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6FF-4900-972A-D3DB360405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Лист1!$C$2:$C$10</c:f>
              <c:numCache>
                <c:formatCode>0.00;[Red]0.00</c:formatCode>
                <c:ptCount val="9"/>
                <c:pt idx="0">
                  <c:v>2661.4</c:v>
                </c:pt>
                <c:pt idx="1">
                  <c:v>2180.4</c:v>
                </c:pt>
                <c:pt idx="2">
                  <c:v>7188.3</c:v>
                </c:pt>
                <c:pt idx="3">
                  <c:v>110.2</c:v>
                </c:pt>
                <c:pt idx="4">
                  <c:v>568</c:v>
                </c:pt>
                <c:pt idx="5">
                  <c:v>0</c:v>
                </c:pt>
                <c:pt idx="6">
                  <c:v>451.8</c:v>
                </c:pt>
                <c:pt idx="7">
                  <c:v>175</c:v>
                </c:pt>
                <c:pt idx="8">
                  <c:v>472.7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16FF-4900-972A-D3DB36040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54118016"/>
        <c:axId val="154119552"/>
        <c:axId val="0"/>
      </c:bar3DChart>
      <c:catAx>
        <c:axId val="154118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119552"/>
        <c:crosses val="autoZero"/>
        <c:auto val="1"/>
        <c:lblAlgn val="ctr"/>
        <c:lblOffset val="100"/>
        <c:noMultiLvlLbl val="0"/>
      </c:catAx>
      <c:valAx>
        <c:axId val="154119552"/>
        <c:scaling>
          <c:orientation val="minMax"/>
          <c:max val="5700"/>
          <c:min val="0"/>
        </c:scaling>
        <c:delete val="1"/>
        <c:axPos val="l"/>
        <c:numFmt formatCode="0.00;[Red]0.00" sourceLinked="1"/>
        <c:majorTickMark val="out"/>
        <c:minorTickMark val="none"/>
        <c:tickLblPos val="none"/>
        <c:crossAx val="154118016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10221887792968"/>
          <c:y val="3.1148485080141647E-2"/>
          <c:w val="0.27097059113344696"/>
          <c:h val="0.109224065438422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29708254382640675"/>
          <c:w val="0.90189520624303232"/>
          <c:h val="0.65148623801703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82-4FD8-B8E1-841112CFF49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7.1301247771836079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82-4FD8-B8E1-841112CFF49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3914710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682-4FD8-B8E1-841112CFF4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682-4FD8-B8E1-841112CFF49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508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82-4FD8-B8E1-841112CFF49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4022237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682-4FD8-B8E1-841112CFF4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82-4FD8-B8E1-841112CFF49A}"/>
              </c:ext>
            </c:extLst>
          </c:dPt>
          <c:dLbls>
            <c:dLbl>
              <c:idx val="0"/>
              <c:layout>
                <c:manualLayout>
                  <c:x val="6.2430323299888534E-2"/>
                  <c:y val="-7.84313725490196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82-4FD8-B8E1-841112CFF49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4856512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F682-4FD8-B8E1-841112CFF4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F682-4FD8-B8E1-841112CFF49A}"/>
              </c:ext>
            </c:extLst>
          </c:dPt>
          <c:dLbls>
            <c:dLbl>
              <c:idx val="0"/>
              <c:layout>
                <c:manualLayout>
                  <c:x val="8.9186176142697804E-2"/>
                  <c:y val="-0.1996434937611408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682-4FD8-B8E1-841112CFF49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4341244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B-F682-4FD8-B8E1-841112CFF4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516164994425864"/>
                  <c:y val="-9.9821746880570439E-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82-4FD8-B8E1-841112CFF49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5603462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D-F682-4FD8-B8E1-841112CFF4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517888"/>
        <c:axId val="94523776"/>
        <c:axId val="0"/>
      </c:bar3DChart>
      <c:catAx>
        <c:axId val="9451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523776"/>
        <c:crosses val="autoZero"/>
        <c:auto val="1"/>
        <c:lblAlgn val="ctr"/>
        <c:lblOffset val="100"/>
        <c:noMultiLvlLbl val="0"/>
      </c:catAx>
      <c:valAx>
        <c:axId val="9452377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51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3570694967476892E-2"/>
          <c:y val="0"/>
          <c:w val="0.9196141117811778"/>
          <c:h val="0.168740297837101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68E-2"/>
          <c:y val="0.10001060609111842"/>
          <c:w val="0.80647989513457308"/>
          <c:h val="0.784507405763265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968-4FEF-B098-A86D709257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968-4FEF-B098-A86D709257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968-4FEF-B098-A86D709257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968-4FEF-B098-A86D709257AD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968-4FEF-B098-A86D709257A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3968-4FEF-B098-A86D709257AD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3968-4FEF-B098-A86D709257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3968-4FEF-B098-A86D709257AD}"/>
              </c:ext>
            </c:extLst>
          </c:dPt>
          <c:dLbls>
            <c:dLbl>
              <c:idx val="0"/>
              <c:layout>
                <c:manualLayout>
                  <c:x val="0.31911612172074044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12486041 грн., 78,2%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68-4FEF-B098-A86D709257AD}"/>
                </c:ext>
              </c:extLst>
            </c:dLbl>
            <c:dLbl>
              <c:idx val="1"/>
              <c:layout>
                <c:manualLayout>
                  <c:x val="0"/>
                  <c:y val="-0.1033740157480315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98975 грн., 0,6%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68-4FEF-B098-A86D709257AD}"/>
                </c:ext>
              </c:extLst>
            </c:dLbl>
            <c:dLbl>
              <c:idx val="2"/>
              <c:layout>
                <c:manualLayout>
                  <c:x val="-1.6904066766935066E-3"/>
                  <c:y val="-1.83443241469817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333480 грн., 2,09%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968-4FEF-B098-A86D709257AD}"/>
                </c:ext>
              </c:extLst>
            </c:dLbl>
            <c:dLbl>
              <c:idx val="3"/>
              <c:layout>
                <c:manualLayout>
                  <c:x val="-1.9365613006239391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273464 грн., 1,7%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968-4FEF-B098-A86D709257AD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58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1289132 грн., 8,1%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68-4FEF-B098-A86D709257AD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3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65078 грн., 0,4%.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3968-4FEF-B098-A86D709257AD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1317585 грн., 8,3%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68-4FEF-B098-A86D709257AD}"/>
                </c:ext>
              </c:extLst>
            </c:dLbl>
            <c:dLbl>
              <c:idx val="7"/>
              <c:layout>
                <c:manualLayout>
                  <c:x val="8.2805928573262526E-8"/>
                  <c:y val="-0.199674361738683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90054 грн., 0,6%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3968-4FEF-B098-A86D709257AD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968-4FEF-B098-A86D70925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DB1-488D-9E97-8821D2B85FE5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B1-488D-9E97-8821D2B85FE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DB1-488D-9E97-8821D2B85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DB1-488D-9E97-8821D2B85FE5}"/>
              </c:ext>
            </c:extLst>
          </c:dPt>
          <c:dLbls>
            <c:dLbl>
              <c:idx val="0"/>
              <c:layout>
                <c:manualLayout>
                  <c:x val="1.3377750858065827E-2"/>
                  <c:y val="-8.643305747495838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DB1-488D-9E97-8821D2B85FE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DB1-488D-9E97-8821D2B85F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96544035674472E-2"/>
                  <c:y val="-0.11957523166747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DB1-488D-9E97-8821D2B85FE5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DB1-488D-9E97-8821D2B85F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75E-2"/>
                  <c:y val="-8.5034013605442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B1-488D-9E97-8821D2B85FE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48629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BDB1-488D-9E97-8821D2B85FE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133779264214048E-2"/>
                  <c:y val="-5.1020408163265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B1-488D-9E97-8821D2B85FE5}"/>
                </c:ext>
              </c:extLst>
            </c:dLbl>
            <c:spPr>
              <a:solidFill>
                <a:srgbClr val="ED7D31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48444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B-BDB1-488D-9E97-8821D2B85F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863616"/>
        <c:axId val="124865152"/>
        <c:axId val="0"/>
      </c:bar3DChart>
      <c:catAx>
        <c:axId val="12486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65152"/>
        <c:crosses val="autoZero"/>
        <c:auto val="1"/>
        <c:lblAlgn val="ctr"/>
        <c:lblOffset val="100"/>
        <c:noMultiLvlLbl val="0"/>
      </c:catAx>
      <c:valAx>
        <c:axId val="1248651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86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09E-2"/>
          <c:y val="4.2517006802721184E-2"/>
          <c:w val="0.66989281858162375"/>
          <c:h val="0.29477743853446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909E-2"/>
          <c:y val="0.14678139459371725"/>
          <c:w val="0.91081382385730159"/>
          <c:h val="0.78239653033061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1B-4E9F-AA97-6AC40DBC4014}"/>
              </c:ext>
            </c:extLst>
          </c:dPt>
          <c:dLbls>
            <c:dLbl>
              <c:idx val="0"/>
              <c:layout>
                <c:manualLayout>
                  <c:x val="3.1215161649944295E-2"/>
                  <c:y val="-8.892836939071967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1B-4E9F-AA97-6AC40DBC40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51B-4E9F-AA97-6AC40DBC40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0066714068768171E-2"/>
                  <c:y val="-7.4782967663022823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47157190635449"/>
                      <c:h val="0.11683265805366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51B-4E9F-AA97-6AC40DBC40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B51B-4E9F-AA97-6AC40DBC40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4E-2"/>
                  <c:y val="-0.147697576637871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51B-4E9F-AA97-6AC40DBC401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549.6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B51B-4E9F-AA97-6AC40DBC40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4E-2"/>
                  <c:y val="-0.10915098234079963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51B-4E9F-AA97-6AC40DBC4014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B51B-4E9F-AA97-6AC40DBC40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971014492753457E-2"/>
                  <c:y val="-5.8252427184466014E-2"/>
                </c:manualLayout>
              </c:layout>
              <c:spPr>
                <a:solidFill>
                  <a:srgbClr val="4472C4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51505016722408"/>
                      <c:h val="0.116388655301582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51B-4E9F-AA97-6AC40DBC40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B51B-4E9F-AA97-6AC40DBC40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936192"/>
        <c:axId val="124937728"/>
        <c:axId val="0"/>
      </c:bar3DChart>
      <c:catAx>
        <c:axId val="12493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37728"/>
        <c:crosses val="autoZero"/>
        <c:auto val="1"/>
        <c:lblAlgn val="ctr"/>
        <c:lblOffset val="100"/>
        <c:noMultiLvlLbl val="0"/>
      </c:catAx>
      <c:valAx>
        <c:axId val="1249377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93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04605904195086"/>
          <c:y val="0"/>
          <c:w val="0.49539409580491395"/>
          <c:h val="0.269249139974008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1573033707865E-2"/>
          <c:y val="3.0208648161404068E-2"/>
          <c:w val="0.90444837653720267"/>
          <c:h val="0.8620472440944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24F-4E27-ABB2-A140050878A5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24F-4E27-ABB2-A140050878A5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24F-4E27-ABB2-A140050878A5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24F-4E27-ABB2-A140050878A5}"/>
              </c:ext>
            </c:extLst>
          </c:dPt>
          <c:dLbls>
            <c:dLbl>
              <c:idx val="0"/>
              <c:layout>
                <c:manualLayout>
                  <c:x val="0.15480659018746251"/>
                  <c:y val="-0.241923168694822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48444 грн., 10,9%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24F-4E27-ABB2-A140050878A5}"/>
                </c:ext>
              </c:extLst>
            </c:dLbl>
            <c:dLbl>
              <c:idx val="1"/>
              <c:layout>
                <c:manualLayout>
                  <c:x val="0.24968789013732834"/>
                  <c:y val="5.54758432973656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228894 грн, 51,4%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24F-4E27-ABB2-A140050878A5}"/>
                </c:ext>
              </c:extLst>
            </c:dLbl>
            <c:dLbl>
              <c:idx val="2"/>
              <c:layout>
                <c:manualLayout>
                  <c:x val="-0.18476913700394193"/>
                  <c:y val="-0.2915411331159362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167102 грн., 37,5%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37508232819209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24F-4E27-ABB2-A140050878A5}"/>
                </c:ext>
              </c:extLst>
            </c:dLbl>
            <c:dLbl>
              <c:idx val="3"/>
              <c:layout>
                <c:manualLayout>
                  <c:x val="0.18908382238737012"/>
                  <c:y val="-4.77061074436402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700 грн.,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24F-4E27-ABB2-A140050878A5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4F-4E27-ABB2-A140050878A5}"/>
                </c:ext>
              </c:extLst>
            </c:dLbl>
            <c:dLbl>
              <c:idx val="7"/>
              <c:layout>
                <c:manualLayout>
                  <c:x val="0.14115092290987985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4F-4E27-ABB2-A140050878A5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48444</c:v>
                </c:pt>
                <c:pt idx="1">
                  <c:v>228894</c:v>
                </c:pt>
                <c:pt idx="2">
                  <c:v>167102</c:v>
                </c:pt>
                <c:pt idx="3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4F-4E27-ABB2-A14005087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2516399876892863E-2"/>
          <c:y val="0.18952364996928575"/>
          <c:w val="0.80618405900843426"/>
          <c:h val="0.6852113110721181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 платника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C1-445E-8614-870C468DFB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C1-445E-8614-870C468DFB56}"/>
              </c:ext>
            </c:extLst>
          </c:dPt>
          <c:dLbls>
            <c:dLbl>
              <c:idx val="1"/>
              <c:layout>
                <c:manualLayout>
                  <c:x val="-0.11198963271883507"/>
                  <c:y val="-0.108249199813069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282406398804884"/>
                      <c:h val="0.137943409369461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9C1-445E-8614-870C468DFB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Фізичні особи</c:v>
                </c:pt>
                <c:pt idx="1">
                  <c:v>Юридичні особи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C1-445E-8614-870C468DFB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888273353182631"/>
          <c:y val="0.20086764070504629"/>
          <c:w val="0.76905964817638905"/>
          <c:h val="0.6536576404993048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Масштаб бізнесу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3D-44CA-B44B-16652387683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63D-44CA-B44B-166523876835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63D-44CA-B44B-166523876835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3D-44CA-B44B-166523876835}"/>
              </c:ext>
            </c:extLst>
          </c:dPt>
          <c:dLbls>
            <c:dLbl>
              <c:idx val="0"/>
              <c:layout>
                <c:manualLayout>
                  <c:x val="0.13614404918752745"/>
                  <c:y val="-0.13437849944008962"/>
                </c:manualLayout>
              </c:layout>
              <c:tx>
                <c:rich>
                  <a:bodyPr/>
                  <a:lstStyle/>
                  <a:p>
                    <a:fld id="{9EE38CBA-A68A-4F91-8FEA-1FF09F3D39B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0,39%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63D-44CA-B44B-166523876835}"/>
                </c:ext>
              </c:extLst>
            </c:dLbl>
            <c:dLbl>
              <c:idx val="1"/>
              <c:layout>
                <c:manualLayout>
                  <c:x val="0.37988581466842336"/>
                  <c:y val="-2.98617418063503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1F0EE6-CA2E-4735-9BFD-6C796448A578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0,12%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07175832269977"/>
                      <c:h val="0.137943409369461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63D-44CA-B44B-16652387683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D82AF84-86EC-4938-8700-48DF1620004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99,02%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63D-44CA-B44B-166523876835}"/>
                </c:ext>
              </c:extLst>
            </c:dLbl>
            <c:dLbl>
              <c:idx val="3"/>
              <c:layout>
                <c:manualLayout>
                  <c:x val="-0.3249891935444828"/>
                  <c:y val="-6.15901455767077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1DDA9C-7E88-433C-A541-A20A4EC51D16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0,47%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44180939833111"/>
                      <c:h val="0.149085479656588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3D-44CA-B44B-1665238768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Великий</c:v>
                </c:pt>
                <c:pt idx="1">
                  <c:v>Середній</c:v>
                </c:pt>
                <c:pt idx="2">
                  <c:v>Малий</c:v>
                </c:pt>
                <c:pt idx="3">
                  <c:v>Неприбуткові установи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3.8999999999999998E-3</c:v>
                </c:pt>
                <c:pt idx="1">
                  <c:v>1.1999999999999999E-3</c:v>
                </c:pt>
                <c:pt idx="2">
                  <c:v>0.99019999999999997</c:v>
                </c:pt>
                <c:pt idx="3">
                  <c:v>4.7000000000000002E-3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3D-44CA-B44B-1665238768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7475</Words>
  <Characters>42610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NatashaGluz</dc:creator>
  <cp:lastModifiedBy>Viddil Ekonomiku</cp:lastModifiedBy>
  <cp:revision>4</cp:revision>
  <cp:lastPrinted>2019-11-13T08:34:00Z</cp:lastPrinted>
  <dcterms:created xsi:type="dcterms:W3CDTF">2022-04-14T09:30:00Z</dcterms:created>
  <dcterms:modified xsi:type="dcterms:W3CDTF">2022-04-15T07:50:00Z</dcterms:modified>
</cp:coreProperties>
</file>