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1039FF" w:rsidRDefault="001039FF" w:rsidP="008D4986">
      <w:pPr>
        <w:spacing w:after="0" w:line="240" w:lineRule="auto"/>
        <w:ind w:firstLine="709"/>
        <w:jc w:val="center"/>
        <w:rPr>
          <w:rFonts w:ascii="Times New Roman" w:hAnsi="Times New Roman" w:cs="Times New Roman"/>
          <w:b/>
          <w:sz w:val="28"/>
          <w:szCs w:val="28"/>
          <w:lang w:val="uk-UA"/>
        </w:rPr>
      </w:pPr>
    </w:p>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C4645D"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C4645D"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1039FF"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0213160</w:t>
            </w:r>
          </w:p>
        </w:tc>
        <w:tc>
          <w:tcPr>
            <w:tcW w:w="7229" w:type="dxa"/>
            <w:tcBorders>
              <w:bottom w:val="single" w:sz="4" w:space="0" w:color="auto"/>
            </w:tcBorders>
          </w:tcPr>
          <w:p w:rsidR="008D4986" w:rsidRPr="008D4986" w:rsidRDefault="001039FF"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1039FF" w:rsidRPr="001039FF">
              <w:rPr>
                <w:rFonts w:ascii="Times New Roman" w:hAnsi="Times New Roman" w:cs="Times New Roman"/>
                <w:sz w:val="24"/>
                <w:szCs w:val="24"/>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00D00943" w:rsidRPr="001039FF">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1039FF">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0015C7">
              <w:rPr>
                <w:rFonts w:ascii="Times New Roman" w:eastAsia="Times New Roman" w:hAnsi="Times New Roman" w:cs="Times New Roman"/>
                <w:sz w:val="24"/>
                <w:szCs w:val="24"/>
                <w:lang w:val="uk-UA" w:eastAsia="ru-RU"/>
              </w:rPr>
              <w:t xml:space="preserve">Забезпечення </w:t>
            </w:r>
            <w:r w:rsidR="001039FF">
              <w:rPr>
                <w:rFonts w:ascii="Times New Roman" w:eastAsia="Times New Roman" w:hAnsi="Times New Roman" w:cs="Times New Roman"/>
                <w:sz w:val="24"/>
                <w:szCs w:val="24"/>
                <w:lang w:val="uk-UA" w:eastAsia="ru-RU"/>
              </w:rPr>
              <w:t>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обслуговуються соціальними службами)</w:t>
            </w:r>
            <w:r w:rsidRPr="00C87856">
              <w:rPr>
                <w:rFonts w:ascii="Times New Roman" w:hAnsi="Times New Roman" w:cs="Times New Roman"/>
                <w:sz w:val="24"/>
                <w:szCs w:val="24"/>
                <w:lang w:val="uk-UA"/>
              </w:rPr>
              <w:t>»</w:t>
            </w:r>
          </w:p>
        </w:tc>
        <w:tc>
          <w:tcPr>
            <w:tcW w:w="1674" w:type="dxa"/>
            <w:vAlign w:val="center"/>
          </w:tcPr>
          <w:p w:rsidR="0027648D" w:rsidRDefault="00855863"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855863" w:rsidRDefault="0027648D" w:rsidP="002979E1">
            <w:pPr>
              <w:jc w:val="center"/>
              <w:rPr>
                <w:rFonts w:ascii="Times New Roman" w:hAnsi="Times New Roman" w:cs="Times New Roman"/>
                <w:sz w:val="24"/>
                <w:szCs w:val="24"/>
                <w:lang w:val="uk-UA"/>
              </w:rPr>
            </w:pP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27648D" w:rsidP="009C5A63">
            <w:pPr>
              <w:jc w:val="center"/>
              <w:rPr>
                <w:rFonts w:ascii="Times New Roman" w:hAnsi="Times New Roman" w:cs="Times New Roman"/>
                <w:b/>
                <w:sz w:val="24"/>
                <w:szCs w:val="24"/>
                <w:lang w:val="uk-UA"/>
              </w:rPr>
            </w:pPr>
          </w:p>
        </w:tc>
        <w:tc>
          <w:tcPr>
            <w:tcW w:w="1869"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1039FF" w:rsidRDefault="001039FF" w:rsidP="008D4986">
      <w:pPr>
        <w:spacing w:after="0" w:line="240" w:lineRule="auto"/>
        <w:rPr>
          <w:rFonts w:ascii="Times New Roman" w:hAnsi="Times New Roman" w:cs="Times New Roman"/>
          <w:b/>
          <w:sz w:val="28"/>
          <w:szCs w:val="28"/>
          <w:lang w:val="uk-UA"/>
        </w:rPr>
      </w:pPr>
    </w:p>
    <w:p w:rsidR="001039FF" w:rsidRDefault="001039FF" w:rsidP="008D4986">
      <w:pPr>
        <w:spacing w:after="0" w:line="240" w:lineRule="auto"/>
        <w:rPr>
          <w:rFonts w:ascii="Times New Roman" w:hAnsi="Times New Roman" w:cs="Times New Roman"/>
          <w:b/>
          <w:sz w:val="28"/>
          <w:szCs w:val="28"/>
          <w:lang w:val="uk-UA"/>
        </w:rPr>
      </w:pPr>
    </w:p>
    <w:p w:rsidR="001039FF" w:rsidRDefault="001039FF"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855863"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855863"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обслуговуються соціальними службами)</w:t>
            </w:r>
            <w:r w:rsidRPr="00C87856">
              <w:rPr>
                <w:rFonts w:ascii="Times New Roman" w:hAnsi="Times New Roman" w:cs="Times New Roman"/>
                <w:sz w:val="24"/>
                <w:szCs w:val="24"/>
                <w:lang w:val="uk-UA"/>
              </w:rPr>
              <w:t>»</w:t>
            </w:r>
          </w:p>
        </w:tc>
        <w:tc>
          <w:tcPr>
            <w:tcW w:w="5670" w:type="dxa"/>
          </w:tcPr>
          <w:p w:rsidR="00D56B9F" w:rsidRPr="00CE166A" w:rsidRDefault="00474F29" w:rsidP="00474F29">
            <w:pPr>
              <w:rPr>
                <w:rFonts w:ascii="Times New Roman" w:hAnsi="Times New Roman" w:cs="Times New Roman"/>
                <w:sz w:val="24"/>
                <w:szCs w:val="24"/>
                <w:lang w:val="uk-UA"/>
              </w:rPr>
            </w:pPr>
            <w:r w:rsidRPr="00474F29">
              <w:rPr>
                <w:rFonts w:ascii="Times New Roman" w:eastAsia="Calibri" w:hAnsi="Times New Roman" w:cs="Times New Roman"/>
                <w:sz w:val="24"/>
                <w:szCs w:val="24"/>
                <w:lang w:val="uk-UA"/>
              </w:rPr>
              <w:t>Низька розрахункова ефективність пояснюється недовиконанням результативних показників</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0015C7" w:rsidRDefault="000015C7"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1039FF" w:rsidRDefault="001039FF"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0B57D3">
        <w:rPr>
          <w:rFonts w:ascii="Times New Roman" w:hAnsi="Times New Roman" w:cs="Times New Roman"/>
          <w:b/>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C4645D"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C4645D">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C4645D" w:rsidRPr="006B71C9" w:rsidTr="00C86F55">
        <w:trPr>
          <w:jc w:val="center"/>
        </w:trPr>
        <w:tc>
          <w:tcPr>
            <w:tcW w:w="1972" w:type="dxa"/>
          </w:tcPr>
          <w:p w:rsidR="00C4645D" w:rsidRPr="003F1C46" w:rsidRDefault="00C4645D"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Середній розмір витрат на компенсацію одній фізичній особі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2728,00</w:t>
            </w:r>
          </w:p>
        </w:tc>
        <w:tc>
          <w:tcPr>
            <w:tcW w:w="1236"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7619,00</w:t>
            </w:r>
          </w:p>
        </w:tc>
        <w:tc>
          <w:tcPr>
            <w:tcW w:w="1210"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35,8%</w:t>
            </w:r>
          </w:p>
        </w:tc>
        <w:tc>
          <w:tcPr>
            <w:tcW w:w="1353"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10000,00</w:t>
            </w:r>
          </w:p>
        </w:tc>
        <w:tc>
          <w:tcPr>
            <w:tcW w:w="1236"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5437,73</w:t>
            </w:r>
          </w:p>
        </w:tc>
        <w:tc>
          <w:tcPr>
            <w:tcW w:w="1209"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183,9%</w:t>
            </w:r>
          </w:p>
        </w:tc>
      </w:tr>
      <w:tr w:rsidR="00C4645D" w:rsidRPr="006B71C9" w:rsidTr="00B91EA9">
        <w:trPr>
          <w:trHeight w:val="433"/>
          <w:jc w:val="center"/>
        </w:trPr>
        <w:tc>
          <w:tcPr>
            <w:tcW w:w="1972" w:type="dxa"/>
          </w:tcPr>
          <w:p w:rsidR="00C4645D" w:rsidRPr="006B71C9" w:rsidRDefault="00C4645D"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p>
        </w:tc>
        <w:tc>
          <w:tcPr>
            <w:tcW w:w="1236"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p>
        </w:tc>
        <w:tc>
          <w:tcPr>
            <w:tcW w:w="1210"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p>
        </w:tc>
        <w:tc>
          <w:tcPr>
            <w:tcW w:w="1353"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p>
        </w:tc>
        <w:tc>
          <w:tcPr>
            <w:tcW w:w="1236"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p>
        </w:tc>
        <w:tc>
          <w:tcPr>
            <w:tcW w:w="1209"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p>
        </w:tc>
      </w:tr>
      <w:tr w:rsidR="00C4645D" w:rsidRPr="006B71C9" w:rsidTr="00C86F55">
        <w:trPr>
          <w:jc w:val="center"/>
        </w:trPr>
        <w:tc>
          <w:tcPr>
            <w:tcW w:w="1972" w:type="dxa"/>
          </w:tcPr>
          <w:p w:rsidR="00C4645D" w:rsidRPr="00353F2B" w:rsidRDefault="00C4645D"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Питома вага кількості призначених компенсацій до кількості звернень за призначенням компенсацій</w:t>
            </w:r>
          </w:p>
        </w:tc>
        <w:tc>
          <w:tcPr>
            <w:tcW w:w="1354"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C4645D" w:rsidRPr="006B71C9" w:rsidRDefault="00C4645D" w:rsidP="003660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C4645D" w:rsidRPr="006B71C9" w:rsidRDefault="00C4645D"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377288"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377289"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23494F">
              <w:rPr>
                <w:rFonts w:ascii="Times New Roman" w:hAnsi="Times New Roman" w:cs="Times New Roman"/>
                <w:lang w:val="uk-UA"/>
              </w:rPr>
              <w:t>10000/5437,73</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23494F">
              <w:rPr>
                <w:rFonts w:ascii="Times New Roman" w:hAnsi="Times New Roman" w:cs="Times New Roman"/>
                <w:lang w:val="uk-UA"/>
              </w:rPr>
              <w:t>183,9</w:t>
            </w:r>
          </w:p>
          <w:p w:rsidR="003E1405" w:rsidRPr="003E1405" w:rsidRDefault="00F71524" w:rsidP="00C4645D">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377290"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C4645D" w:rsidRPr="00F71524">
              <w:rPr>
                <w:rFonts w:ascii="Times New Roman" w:hAnsi="Times New Roman" w:cs="Times New Roman"/>
                <w:lang w:val="uk-UA"/>
              </w:rPr>
              <w:t>(</w:t>
            </w:r>
            <w:r w:rsidR="00C4645D">
              <w:rPr>
                <w:rFonts w:ascii="Times New Roman" w:hAnsi="Times New Roman" w:cs="Times New Roman"/>
                <w:lang w:val="uk-UA"/>
              </w:rPr>
              <w:t>2728/7619)÷1*100=35,8</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377291"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855863">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377292"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377293"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1C53FA" w:rsidP="0023494F">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377294" r:id="rId19"/>
              </w:object>
            </w:r>
            <w:r w:rsidR="00855863">
              <w:rPr>
                <w:rFonts w:ascii="Times New Roman" w:hAnsi="Times New Roman" w:cs="Times New Roman"/>
                <w:lang w:val="uk-UA"/>
              </w:rPr>
              <w:t xml:space="preserve"> =</w:t>
            </w:r>
            <w:r w:rsidR="0023494F" w:rsidRPr="0023494F">
              <w:rPr>
                <w:rFonts w:ascii="Times New Roman" w:hAnsi="Times New Roman" w:cs="Times New Roman"/>
                <w:color w:val="FF0000"/>
                <w:lang w:val="uk-UA"/>
              </w:rPr>
              <w:t>183,9/35,8=5,136</w:t>
            </w:r>
            <w:r w:rsidR="00AD2009" w:rsidRPr="0023494F">
              <w:rPr>
                <w:rFonts w:ascii="Times New Roman" w:eastAsia="Calibri" w:hAnsi="Times New Roman" w:cs="Times New Roman"/>
                <w:color w:val="FF0000"/>
                <w:lang w:val="uk-UA"/>
              </w:rPr>
              <w:t xml:space="preserve"> </w:t>
            </w:r>
            <w:r w:rsidR="00AD2009" w:rsidRPr="00AD2009">
              <w:rPr>
                <w:rFonts w:ascii="Times New Roman" w:eastAsia="Calibri" w:hAnsi="Times New Roman" w:cs="Times New Roman"/>
                <w:lang w:val="uk-UA"/>
              </w:rPr>
              <w:t>відповідно до критеріїв оцінки</w:t>
            </w:r>
            <w:r w:rsidR="0023494F" w:rsidRPr="000F31FF">
              <w:rPr>
                <w:rFonts w:ascii="Times New Roman" w:hAnsi="Times New Roman"/>
                <w:position w:val="-10"/>
                <w:sz w:val="28"/>
                <w:szCs w:val="28"/>
              </w:rPr>
              <w:object w:dxaOrig="560" w:dyaOrig="360">
                <v:shape id="_x0000_i1040" type="#_x0000_t75" style="width:27.55pt;height:18.4pt" o:ole="">
                  <v:imagedata r:id="rId20" o:title=""/>
                </v:shape>
                <o:OLEObject Type="Embed" ProgID="Equation.3" ShapeID="_x0000_i1040" DrawAspect="Content" ObjectID="_1737377295" r:id="rId21"/>
              </w:object>
            </w:r>
            <w:r w:rsidR="00855863">
              <w:rPr>
                <w:rFonts w:ascii="Times New Roman" w:eastAsia="Calibri" w:hAnsi="Times New Roman" w:cs="Times New Roman"/>
                <w:sz w:val="28"/>
                <w:szCs w:val="28"/>
                <w:lang w:val="uk-UA"/>
              </w:rPr>
              <w:t xml:space="preserve">, а відповідно </w:t>
            </w:r>
            <w:r w:rsidR="0023494F">
              <w:rPr>
                <w:rFonts w:ascii="Times New Roman" w:eastAsia="Calibri" w:hAnsi="Times New Roman" w:cs="Times New Roman"/>
                <w:sz w:val="28"/>
                <w:szCs w:val="28"/>
                <w:lang w:val="uk-UA"/>
              </w:rPr>
              <w:t>25</w:t>
            </w:r>
            <w:r w:rsidR="00AD2009" w:rsidRPr="00AD2009">
              <w:rPr>
                <w:rFonts w:ascii="Times New Roman" w:eastAsia="Calibri" w:hAnsi="Times New Roman" w:cs="Times New Roman"/>
                <w:sz w:val="28"/>
                <w:szCs w:val="28"/>
                <w:lang w:val="uk-UA"/>
              </w:rPr>
              <w:t xml:space="preserve">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2" o:title=""/>
          </v:shape>
          <o:OLEObject Type="Embed" ProgID="Equation.3" ShapeID="_x0000_i1032" DrawAspect="Content" ObjectID="_1737377296"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4" o:title=""/>
                </v:shape>
                <o:OLEObject Type="Embed" ProgID="Equation.3" ShapeID="_x0000_i1033" DrawAspect="Content" ObjectID="_1737377297"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6" o:title=""/>
                </v:shape>
                <o:OLEObject Type="Embed" ProgID="Equation.3" ShapeID="_x0000_i1034" DrawAspect="Content" ObjectID="_1737377298"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0" o:title=""/>
                </v:shape>
                <o:OLEObject Type="Embed" ProgID="Equation.3" ShapeID="_x0000_i1035" DrawAspect="Content" ObjectID="_1737377299"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9" o:title=""/>
          </v:shape>
          <o:OLEObject Type="Embed" ProgID="Equation.3" ShapeID="_x0000_i1036" DrawAspect="Content" ObjectID="_1737377300"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31254A">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31254A" w:rsidRPr="0031254A">
              <w:rPr>
                <w:rFonts w:ascii="Times New Roman" w:hAnsi="Times New Roman"/>
                <w:color w:val="FF0000"/>
                <w:sz w:val="28"/>
                <w:szCs w:val="28"/>
                <w:lang w:val="uk-UA"/>
              </w:rPr>
              <w:t>183,9</w:t>
            </w:r>
            <w:r w:rsidR="003C0CB8" w:rsidRPr="0031254A">
              <w:rPr>
                <w:rFonts w:ascii="Times New Roman" w:hAnsi="Times New Roman"/>
                <w:color w:val="FF0000"/>
                <w:sz w:val="28"/>
                <w:szCs w:val="28"/>
                <w:lang w:val="uk-UA"/>
              </w:rPr>
              <w:t>+100+</w:t>
            </w:r>
            <w:r w:rsidR="00855863" w:rsidRPr="0031254A">
              <w:rPr>
                <w:rFonts w:ascii="Times New Roman" w:hAnsi="Times New Roman"/>
                <w:color w:val="FF0000"/>
                <w:sz w:val="28"/>
                <w:szCs w:val="28"/>
                <w:lang w:val="uk-UA"/>
              </w:rPr>
              <w:t>0</w:t>
            </w:r>
            <w:r w:rsidRPr="0031254A">
              <w:rPr>
                <w:rFonts w:ascii="Times New Roman" w:hAnsi="Times New Roman"/>
                <w:color w:val="FF0000"/>
                <w:sz w:val="28"/>
                <w:szCs w:val="28"/>
                <w:lang w:val="uk-UA"/>
              </w:rPr>
              <w:t xml:space="preserve"> = </w:t>
            </w:r>
            <w:r w:rsidR="00E15FD8" w:rsidRPr="0031254A">
              <w:rPr>
                <w:rFonts w:ascii="Times New Roman" w:hAnsi="Times New Roman"/>
                <w:color w:val="FF0000"/>
                <w:sz w:val="28"/>
                <w:szCs w:val="28"/>
                <w:lang w:val="uk-UA"/>
              </w:rPr>
              <w:t xml:space="preserve"> </w:t>
            </w:r>
            <w:r w:rsidR="00E15FD8">
              <w:rPr>
                <w:rFonts w:ascii="Times New Roman" w:hAnsi="Times New Roman"/>
                <w:sz w:val="28"/>
                <w:szCs w:val="28"/>
                <w:lang w:val="uk-UA"/>
              </w:rPr>
              <w:t>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7" type="#_x0000_t75" style="width:23pt;height:19.9pt" o:ole="">
            <v:imagedata r:id="rId31" o:title=""/>
          </v:shape>
          <o:OLEObject Type="Embed" ProgID="Equation.3" ShapeID="_x0000_i1037" DrawAspect="Content" ObjectID="_1737377301"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8" type="#_x0000_t75" style="width:21.45pt;height:19.9pt" o:ole="">
            <v:imagedata r:id="rId33" o:title=""/>
          </v:shape>
          <o:OLEObject Type="Embed" ProgID="Equation.3" ShapeID="_x0000_i1038" DrawAspect="Content" ObjectID="_1737377302"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9" type="#_x0000_t75" style="width:11.5pt;height:18.4pt" o:ole="">
            <v:imagedata r:id="rId35" o:title=""/>
          </v:shape>
          <o:OLEObject Type="Embed" ProgID="Equation.3" ShapeID="_x0000_i1039" DrawAspect="Content" ObjectID="_1737377303"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9451B2" w:rsidRPr="009451B2" w:rsidTr="00A700AC">
        <w:tc>
          <w:tcPr>
            <w:tcW w:w="9344" w:type="dxa"/>
          </w:tcPr>
          <w:p w:rsidR="0023034F" w:rsidRPr="009451B2" w:rsidRDefault="001C53FA" w:rsidP="0023034F">
            <w:pPr>
              <w:ind w:firstLine="709"/>
              <w:jc w:val="both"/>
              <w:rPr>
                <w:rFonts w:ascii="Times New Roman" w:eastAsia="Calibri" w:hAnsi="Times New Roman" w:cs="Times New Roman"/>
                <w:color w:val="FF0000"/>
                <w:sz w:val="24"/>
                <w:szCs w:val="24"/>
                <w:lang w:val="uk-UA"/>
              </w:rPr>
            </w:pPr>
            <w:r w:rsidRPr="009451B2">
              <w:rPr>
                <w:rFonts w:ascii="Times New Roman" w:hAnsi="Times New Roman" w:cs="Times New Roman"/>
                <w:color w:val="FF0000"/>
                <w:sz w:val="24"/>
                <w:szCs w:val="24"/>
                <w:lang w:val="uk-UA"/>
              </w:rPr>
              <w:t>Відповідно до розрахунків порівняльного аналізу ефективності бюджетної програми «</w:t>
            </w:r>
            <w:r w:rsidR="00AD2009" w:rsidRPr="009451B2">
              <w:rPr>
                <w:rFonts w:ascii="Times New Roman" w:hAnsi="Times New Roman" w:cs="Times New Roman"/>
                <w:color w:val="FF0000"/>
                <w:sz w:val="24"/>
                <w:szCs w:val="24"/>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004B107A" w:rsidRPr="009451B2">
              <w:rPr>
                <w:rFonts w:ascii="Times New Roman" w:hAnsi="Times New Roman" w:cs="Times New Roman"/>
                <w:color w:val="FF0000"/>
                <w:sz w:val="24"/>
                <w:szCs w:val="24"/>
                <w:lang w:val="uk-UA"/>
              </w:rPr>
              <w:t>»</w:t>
            </w:r>
            <w:r w:rsidRPr="009451B2">
              <w:rPr>
                <w:rFonts w:ascii="Times New Roman" w:hAnsi="Times New Roman" w:cs="Times New Roman"/>
                <w:color w:val="FF0000"/>
                <w:sz w:val="24"/>
                <w:szCs w:val="24"/>
                <w:lang w:val="uk-UA"/>
              </w:rPr>
              <w:t xml:space="preserve"> отримано кінцевий показник ефективності бюджетної програми, який становить</w:t>
            </w:r>
            <w:r w:rsidR="0067009E" w:rsidRPr="009451B2">
              <w:rPr>
                <w:rFonts w:ascii="Times New Roman" w:hAnsi="Times New Roman" w:cs="Times New Roman"/>
                <w:color w:val="FF0000"/>
                <w:sz w:val="24"/>
                <w:szCs w:val="24"/>
                <w:lang w:val="uk-UA"/>
              </w:rPr>
              <w:t xml:space="preserve"> </w:t>
            </w:r>
            <w:r w:rsidR="0063011B" w:rsidRPr="009451B2">
              <w:rPr>
                <w:rFonts w:ascii="Times New Roman" w:hAnsi="Times New Roman" w:cs="Times New Roman"/>
                <w:color w:val="FF0000"/>
                <w:sz w:val="24"/>
                <w:szCs w:val="24"/>
                <w:lang w:val="uk-UA"/>
              </w:rPr>
              <w:t>135,8</w:t>
            </w:r>
            <w:r w:rsidR="00EA6803" w:rsidRPr="009451B2">
              <w:rPr>
                <w:rFonts w:ascii="Times New Roman" w:hAnsi="Times New Roman" w:cs="Times New Roman"/>
                <w:color w:val="FF0000"/>
                <w:sz w:val="24"/>
                <w:szCs w:val="24"/>
                <w:lang w:val="uk-UA"/>
              </w:rPr>
              <w:t xml:space="preserve"> </w:t>
            </w:r>
            <w:r w:rsidR="0067009E" w:rsidRPr="009451B2">
              <w:rPr>
                <w:rFonts w:ascii="Times New Roman" w:hAnsi="Times New Roman" w:cs="Times New Roman"/>
                <w:color w:val="FF0000"/>
                <w:sz w:val="24"/>
                <w:szCs w:val="24"/>
                <w:lang w:val="uk-UA"/>
              </w:rPr>
              <w:t>бал</w:t>
            </w:r>
            <w:r w:rsidR="00894B09" w:rsidRPr="009451B2">
              <w:rPr>
                <w:rFonts w:ascii="Times New Roman" w:hAnsi="Times New Roman" w:cs="Times New Roman"/>
                <w:color w:val="FF0000"/>
                <w:sz w:val="24"/>
                <w:szCs w:val="24"/>
                <w:lang w:val="uk-UA"/>
              </w:rPr>
              <w:t>ів</w:t>
            </w:r>
            <w:r w:rsidR="003100C2" w:rsidRPr="009451B2">
              <w:rPr>
                <w:rFonts w:ascii="Times New Roman" w:hAnsi="Times New Roman" w:cs="Times New Roman"/>
                <w:color w:val="FF0000"/>
                <w:sz w:val="24"/>
                <w:szCs w:val="24"/>
                <w:lang w:val="uk-UA"/>
              </w:rPr>
              <w:t xml:space="preserve">. </w:t>
            </w:r>
            <w:r w:rsidR="0023034F" w:rsidRPr="009451B2">
              <w:rPr>
                <w:rFonts w:ascii="Times New Roman" w:eastAsia="Calibri" w:hAnsi="Times New Roman" w:cs="Times New Roman"/>
                <w:color w:val="FF0000"/>
                <w:sz w:val="24"/>
                <w:szCs w:val="24"/>
                <w:lang w:val="uk-UA"/>
              </w:rPr>
              <w:t>Відповідно до шкали оцінки ефективності бюджетної програми бюджетна програма «</w:t>
            </w:r>
            <w:r w:rsidR="0023034F" w:rsidRPr="009451B2">
              <w:rPr>
                <w:rFonts w:ascii="Times New Roman" w:hAnsi="Times New Roman" w:cs="Times New Roman"/>
                <w:color w:val="FF0000"/>
                <w:sz w:val="24"/>
                <w:szCs w:val="24"/>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0023034F" w:rsidRPr="009451B2">
              <w:rPr>
                <w:rFonts w:ascii="Times New Roman" w:eastAsia="Calibri" w:hAnsi="Times New Roman" w:cs="Times New Roman"/>
                <w:color w:val="FF0000"/>
                <w:sz w:val="24"/>
                <w:szCs w:val="24"/>
                <w:lang w:val="uk-UA"/>
              </w:rPr>
              <w:t>» має низьку ефективність бюджетної програми.</w:t>
            </w:r>
          </w:p>
          <w:p w:rsidR="0023034F" w:rsidRPr="009451B2" w:rsidRDefault="0023034F" w:rsidP="0023034F">
            <w:pPr>
              <w:ind w:firstLine="709"/>
              <w:jc w:val="both"/>
              <w:rPr>
                <w:rFonts w:ascii="Times New Roman" w:eastAsia="Calibri" w:hAnsi="Times New Roman" w:cs="Times New Roman"/>
                <w:color w:val="FF0000"/>
                <w:sz w:val="24"/>
                <w:szCs w:val="24"/>
                <w:lang w:val="uk-UA"/>
              </w:rPr>
            </w:pPr>
            <w:r w:rsidRPr="009451B2">
              <w:rPr>
                <w:rFonts w:ascii="Times New Roman" w:eastAsia="Calibri" w:hAnsi="Times New Roman" w:cs="Times New Roman"/>
                <w:color w:val="FF0000"/>
                <w:sz w:val="24"/>
                <w:szCs w:val="24"/>
                <w:lang w:val="uk-UA"/>
              </w:rPr>
              <w:t xml:space="preserve"> Проте за бюджетною програмою досягнуто основної мети програми, виконано основне завдання -«</w:t>
            </w:r>
            <w:r w:rsidRPr="009451B2">
              <w:rPr>
                <w:rFonts w:ascii="Times New Roman" w:eastAsia="Times New Roman" w:hAnsi="Times New Roman" w:cs="Times New Roman"/>
                <w:color w:val="FF0000"/>
                <w:sz w:val="24"/>
                <w:szCs w:val="24"/>
                <w:lang w:val="uk-UA" w:eastAsia="ru-RU"/>
              </w:rPr>
              <w:t xml:space="preserve"> 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обслуговуються соціальними службами)</w:t>
            </w:r>
            <w:r w:rsidRPr="009451B2">
              <w:rPr>
                <w:rFonts w:ascii="Times New Roman" w:eastAsia="Calibri" w:hAnsi="Times New Roman" w:cs="Times New Roman"/>
                <w:color w:val="FF0000"/>
                <w:sz w:val="24"/>
                <w:szCs w:val="24"/>
                <w:lang w:val="uk-UA"/>
              </w:rPr>
              <w:t>»</w:t>
            </w:r>
          </w:p>
          <w:p w:rsidR="005F5F84" w:rsidRPr="009451B2" w:rsidRDefault="005F5F84" w:rsidP="00AD2009">
            <w:pPr>
              <w:ind w:firstLine="709"/>
              <w:jc w:val="both"/>
              <w:rPr>
                <w:rFonts w:ascii="Times New Roman" w:hAnsi="Times New Roman" w:cs="Times New Roman"/>
                <w:color w:val="FF0000"/>
                <w:sz w:val="24"/>
                <w:szCs w:val="24"/>
                <w:lang w:val="uk-UA"/>
              </w:rPr>
            </w:pPr>
          </w:p>
        </w:tc>
      </w:tr>
    </w:tbl>
    <w:p w:rsidR="000F31FF" w:rsidRPr="009451B2" w:rsidRDefault="000F31FF" w:rsidP="00652226">
      <w:pPr>
        <w:spacing w:after="0" w:line="240" w:lineRule="auto"/>
        <w:jc w:val="both"/>
        <w:rPr>
          <w:rFonts w:ascii="Times New Roman" w:hAnsi="Times New Roman" w:cs="Times New Roman"/>
          <w:color w:val="FF0000"/>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67009E" w:rsidP="002D48EB">
            <w:pPr>
              <w:jc w:val="center"/>
              <w:rPr>
                <w:rFonts w:ascii="Times New Roman" w:hAnsi="Times New Roman" w:cs="Times New Roman"/>
                <w:sz w:val="24"/>
                <w:szCs w:val="24"/>
                <w:lang w:val="uk-UA"/>
              </w:rPr>
            </w:pPr>
            <w:r w:rsidRPr="00CD6BDA">
              <w:rPr>
                <w:rFonts w:ascii="Times New Roman" w:hAnsi="Times New Roman" w:cs="Times New Roman"/>
                <w:sz w:val="24"/>
                <w:szCs w:val="24"/>
                <w:lang w:val="uk-UA"/>
              </w:rPr>
              <w:t>Л.М.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660A7"/>
    <w:rsid w:val="00093218"/>
    <w:rsid w:val="000947D1"/>
    <w:rsid w:val="000A14B6"/>
    <w:rsid w:val="000B57D3"/>
    <w:rsid w:val="000E0853"/>
    <w:rsid w:val="000F20F3"/>
    <w:rsid w:val="000F31FF"/>
    <w:rsid w:val="0010167E"/>
    <w:rsid w:val="001039FF"/>
    <w:rsid w:val="001177EC"/>
    <w:rsid w:val="00132429"/>
    <w:rsid w:val="0013505E"/>
    <w:rsid w:val="001C53FA"/>
    <w:rsid w:val="00214B26"/>
    <w:rsid w:val="0023034F"/>
    <w:rsid w:val="0023494F"/>
    <w:rsid w:val="002520E1"/>
    <w:rsid w:val="002672DB"/>
    <w:rsid w:val="0027648D"/>
    <w:rsid w:val="00281F79"/>
    <w:rsid w:val="002979E1"/>
    <w:rsid w:val="002B2F62"/>
    <w:rsid w:val="002B5DE3"/>
    <w:rsid w:val="002D48EB"/>
    <w:rsid w:val="003100C2"/>
    <w:rsid w:val="003105A6"/>
    <w:rsid w:val="0031254A"/>
    <w:rsid w:val="0032673C"/>
    <w:rsid w:val="00353F2B"/>
    <w:rsid w:val="003630AC"/>
    <w:rsid w:val="00365834"/>
    <w:rsid w:val="00375625"/>
    <w:rsid w:val="003B2842"/>
    <w:rsid w:val="003C0CB8"/>
    <w:rsid w:val="003D78CC"/>
    <w:rsid w:val="003E1405"/>
    <w:rsid w:val="003F1C46"/>
    <w:rsid w:val="003F5E02"/>
    <w:rsid w:val="0040793C"/>
    <w:rsid w:val="004148CC"/>
    <w:rsid w:val="00422825"/>
    <w:rsid w:val="00444125"/>
    <w:rsid w:val="00461543"/>
    <w:rsid w:val="00463F54"/>
    <w:rsid w:val="00474F29"/>
    <w:rsid w:val="0049778C"/>
    <w:rsid w:val="004B107A"/>
    <w:rsid w:val="004B2347"/>
    <w:rsid w:val="005253B8"/>
    <w:rsid w:val="00546B49"/>
    <w:rsid w:val="00591767"/>
    <w:rsid w:val="005F5F84"/>
    <w:rsid w:val="0060549C"/>
    <w:rsid w:val="00617E24"/>
    <w:rsid w:val="0063011B"/>
    <w:rsid w:val="00652226"/>
    <w:rsid w:val="00665120"/>
    <w:rsid w:val="0067009E"/>
    <w:rsid w:val="00673CBE"/>
    <w:rsid w:val="00676759"/>
    <w:rsid w:val="00682111"/>
    <w:rsid w:val="00684AEB"/>
    <w:rsid w:val="006A187C"/>
    <w:rsid w:val="006B50B1"/>
    <w:rsid w:val="006B71C9"/>
    <w:rsid w:val="006C3D59"/>
    <w:rsid w:val="006D3FC4"/>
    <w:rsid w:val="006E0418"/>
    <w:rsid w:val="006E4D60"/>
    <w:rsid w:val="006F0DCD"/>
    <w:rsid w:val="0071011E"/>
    <w:rsid w:val="00712AB0"/>
    <w:rsid w:val="00713339"/>
    <w:rsid w:val="007205F6"/>
    <w:rsid w:val="007206B8"/>
    <w:rsid w:val="0077785C"/>
    <w:rsid w:val="00793655"/>
    <w:rsid w:val="00795877"/>
    <w:rsid w:val="007B12E5"/>
    <w:rsid w:val="007B1337"/>
    <w:rsid w:val="007F3377"/>
    <w:rsid w:val="008242A9"/>
    <w:rsid w:val="00835762"/>
    <w:rsid w:val="00843680"/>
    <w:rsid w:val="00855863"/>
    <w:rsid w:val="00875E9F"/>
    <w:rsid w:val="00894B09"/>
    <w:rsid w:val="008C1CA3"/>
    <w:rsid w:val="008D4986"/>
    <w:rsid w:val="008F2777"/>
    <w:rsid w:val="00913934"/>
    <w:rsid w:val="00930015"/>
    <w:rsid w:val="00931003"/>
    <w:rsid w:val="009451B2"/>
    <w:rsid w:val="00945D15"/>
    <w:rsid w:val="009601E4"/>
    <w:rsid w:val="00963284"/>
    <w:rsid w:val="00983CCA"/>
    <w:rsid w:val="00994643"/>
    <w:rsid w:val="009B2C60"/>
    <w:rsid w:val="009B46A0"/>
    <w:rsid w:val="009C5A63"/>
    <w:rsid w:val="009D34E3"/>
    <w:rsid w:val="009D5FE8"/>
    <w:rsid w:val="009E7142"/>
    <w:rsid w:val="00A04BCA"/>
    <w:rsid w:val="00A2115E"/>
    <w:rsid w:val="00A62477"/>
    <w:rsid w:val="00A700AC"/>
    <w:rsid w:val="00AA007C"/>
    <w:rsid w:val="00AA25E9"/>
    <w:rsid w:val="00AD2009"/>
    <w:rsid w:val="00AF0F81"/>
    <w:rsid w:val="00B04719"/>
    <w:rsid w:val="00B403C4"/>
    <w:rsid w:val="00B5087E"/>
    <w:rsid w:val="00B6326E"/>
    <w:rsid w:val="00B728F2"/>
    <w:rsid w:val="00B73DE3"/>
    <w:rsid w:val="00B91EA9"/>
    <w:rsid w:val="00BD5E36"/>
    <w:rsid w:val="00BE12FF"/>
    <w:rsid w:val="00C4645D"/>
    <w:rsid w:val="00C84195"/>
    <w:rsid w:val="00C844D4"/>
    <w:rsid w:val="00C86F55"/>
    <w:rsid w:val="00C87856"/>
    <w:rsid w:val="00C94271"/>
    <w:rsid w:val="00CC58E9"/>
    <w:rsid w:val="00CD570D"/>
    <w:rsid w:val="00CD6BDA"/>
    <w:rsid w:val="00CE166A"/>
    <w:rsid w:val="00D00943"/>
    <w:rsid w:val="00D276DE"/>
    <w:rsid w:val="00D56B9F"/>
    <w:rsid w:val="00D77018"/>
    <w:rsid w:val="00D90DC3"/>
    <w:rsid w:val="00DA3C73"/>
    <w:rsid w:val="00DD1EC2"/>
    <w:rsid w:val="00DE627F"/>
    <w:rsid w:val="00DE714B"/>
    <w:rsid w:val="00DF14E3"/>
    <w:rsid w:val="00E04240"/>
    <w:rsid w:val="00E15FD8"/>
    <w:rsid w:val="00E1671E"/>
    <w:rsid w:val="00E56A36"/>
    <w:rsid w:val="00E672B9"/>
    <w:rsid w:val="00E70D0A"/>
    <w:rsid w:val="00EA6803"/>
    <w:rsid w:val="00EB21A8"/>
    <w:rsid w:val="00EB3E0D"/>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0D4B-F6B2-4B48-B0B8-3ED30E07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128</cp:revision>
  <dcterms:created xsi:type="dcterms:W3CDTF">2022-02-09T14:16:00Z</dcterms:created>
  <dcterms:modified xsi:type="dcterms:W3CDTF">2023-02-08T14:01:00Z</dcterms:modified>
</cp:coreProperties>
</file>