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876385"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EC07E6"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0215061</w:t>
            </w:r>
          </w:p>
        </w:tc>
        <w:tc>
          <w:tcPr>
            <w:tcW w:w="7229" w:type="dxa"/>
            <w:tcBorders>
              <w:bottom w:val="single" w:sz="4" w:space="0" w:color="auto"/>
            </w:tcBorders>
          </w:tcPr>
          <w:p w:rsidR="008D4986" w:rsidRPr="008D4986" w:rsidRDefault="00EC07E6"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Забезпечення діяльності місцевих центрів фізичного </w:t>
            </w:r>
            <w:proofErr w:type="spellStart"/>
            <w:r>
              <w:rPr>
                <w:rFonts w:ascii="Times New Roman" w:hAnsi="Times New Roman" w:cs="Times New Roman"/>
                <w:b/>
                <w:sz w:val="28"/>
                <w:szCs w:val="28"/>
                <w:lang w:val="uk-UA"/>
              </w:rPr>
              <w:t>здоров</w:t>
            </w:r>
            <w:proofErr w:type="spellEnd"/>
            <w:r w:rsidRPr="00EC07E6">
              <w:rPr>
                <w:rFonts w:ascii="Times New Roman" w:hAnsi="Times New Roman" w:cs="Times New Roman"/>
                <w:b/>
                <w:sz w:val="28"/>
                <w:szCs w:val="28"/>
              </w:rPr>
              <w:t>’</w:t>
            </w:r>
            <w:r>
              <w:rPr>
                <w:rFonts w:ascii="Times New Roman" w:hAnsi="Times New Roman" w:cs="Times New Roman"/>
                <w:b/>
                <w:sz w:val="28"/>
                <w:szCs w:val="28"/>
                <w:lang w:val="uk-UA"/>
              </w:rPr>
              <w:t>я населення</w:t>
            </w:r>
            <w:r w:rsidR="00B037D1">
              <w:rPr>
                <w:rFonts w:ascii="Times New Roman" w:hAnsi="Times New Roman" w:cs="Times New Roman"/>
                <w:b/>
                <w:sz w:val="28"/>
                <w:szCs w:val="28"/>
                <w:lang w:val="uk-UA"/>
              </w:rPr>
              <w:t xml:space="preserve"> «Спорт для всіх» та проведення фізкультурно-масових заходів серед населення регіону</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B037D1" w:rsidRPr="00B037D1">
              <w:rPr>
                <w:rFonts w:ascii="Times New Roman" w:hAnsi="Times New Roman" w:cs="Times New Roman"/>
                <w:sz w:val="24"/>
                <w:szCs w:val="24"/>
                <w:lang w:val="uk-UA"/>
              </w:rPr>
              <w:t xml:space="preserve">Забезпечення діяльності місцевих центрів фізичного </w:t>
            </w:r>
            <w:proofErr w:type="spellStart"/>
            <w:r w:rsidR="00B037D1" w:rsidRPr="00B037D1">
              <w:rPr>
                <w:rFonts w:ascii="Times New Roman" w:hAnsi="Times New Roman" w:cs="Times New Roman"/>
                <w:sz w:val="24"/>
                <w:szCs w:val="24"/>
                <w:lang w:val="uk-UA"/>
              </w:rPr>
              <w:t>здоров</w:t>
            </w:r>
            <w:proofErr w:type="spellEnd"/>
            <w:r w:rsidR="00B037D1" w:rsidRPr="00B037D1">
              <w:rPr>
                <w:rFonts w:ascii="Times New Roman" w:hAnsi="Times New Roman" w:cs="Times New Roman"/>
                <w:sz w:val="24"/>
                <w:szCs w:val="24"/>
              </w:rPr>
              <w:t>’</w:t>
            </w:r>
            <w:r w:rsidR="00B037D1" w:rsidRPr="00B037D1">
              <w:rPr>
                <w:rFonts w:ascii="Times New Roman" w:hAnsi="Times New Roman" w:cs="Times New Roman"/>
                <w:sz w:val="24"/>
                <w:szCs w:val="24"/>
                <w:lang w:val="uk-UA"/>
              </w:rPr>
              <w:t>я населення «Спорт для всіх» та проведення фізкультурно-масових заходів серед населення регіону</w:t>
            </w:r>
            <w:r w:rsidR="00D00943" w:rsidRPr="00B037D1">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B037D1">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0015C7">
              <w:rPr>
                <w:rFonts w:ascii="Times New Roman" w:eastAsia="Times New Roman" w:hAnsi="Times New Roman" w:cs="Times New Roman"/>
                <w:sz w:val="24"/>
                <w:szCs w:val="24"/>
                <w:lang w:val="uk-UA" w:eastAsia="ru-RU"/>
              </w:rPr>
              <w:t xml:space="preserve">Забезпечення </w:t>
            </w:r>
            <w:r w:rsidR="00B037D1">
              <w:rPr>
                <w:rFonts w:ascii="Times New Roman" w:eastAsia="Times New Roman" w:hAnsi="Times New Roman" w:cs="Times New Roman"/>
                <w:sz w:val="24"/>
                <w:szCs w:val="24"/>
                <w:lang w:val="uk-UA" w:eastAsia="ru-RU"/>
              </w:rPr>
              <w:t xml:space="preserve">діяльності місцевих центрів фізичного </w:t>
            </w:r>
            <w:proofErr w:type="spellStart"/>
            <w:r w:rsidR="00B037D1">
              <w:rPr>
                <w:rFonts w:ascii="Times New Roman" w:eastAsia="Times New Roman" w:hAnsi="Times New Roman" w:cs="Times New Roman"/>
                <w:sz w:val="24"/>
                <w:szCs w:val="24"/>
                <w:lang w:val="uk-UA" w:eastAsia="ru-RU"/>
              </w:rPr>
              <w:t>здоров</w:t>
            </w:r>
            <w:proofErr w:type="spellEnd"/>
            <w:r w:rsidR="00B037D1" w:rsidRPr="00B037D1">
              <w:rPr>
                <w:rFonts w:ascii="Times New Roman" w:eastAsia="Times New Roman" w:hAnsi="Times New Roman" w:cs="Times New Roman"/>
                <w:sz w:val="24"/>
                <w:szCs w:val="24"/>
                <w:lang w:eastAsia="ru-RU"/>
              </w:rPr>
              <w:t>’</w:t>
            </w:r>
            <w:r w:rsidR="00B037D1">
              <w:rPr>
                <w:rFonts w:ascii="Times New Roman" w:eastAsia="Times New Roman" w:hAnsi="Times New Roman" w:cs="Times New Roman"/>
                <w:sz w:val="24"/>
                <w:szCs w:val="24"/>
                <w:lang w:val="uk-UA" w:eastAsia="ru-RU"/>
              </w:rPr>
              <w:t xml:space="preserve">я населення </w:t>
            </w:r>
            <w:r w:rsidR="00B037D1" w:rsidRPr="00B037D1">
              <w:rPr>
                <w:rFonts w:ascii="Times New Roman" w:hAnsi="Times New Roman" w:cs="Times New Roman"/>
                <w:sz w:val="24"/>
                <w:szCs w:val="24"/>
                <w:lang w:val="uk-UA"/>
              </w:rPr>
              <w:t>«Спорт для всіх» та проведення фізкультурно-масових заходів серед населення регіону</w:t>
            </w:r>
            <w:r w:rsidRPr="00C87856">
              <w:rPr>
                <w:rFonts w:ascii="Times New Roman" w:hAnsi="Times New Roman" w:cs="Times New Roman"/>
                <w:sz w:val="24"/>
                <w:szCs w:val="24"/>
                <w:lang w:val="uk-UA"/>
              </w:rPr>
              <w:t>»</w:t>
            </w:r>
          </w:p>
        </w:tc>
        <w:tc>
          <w:tcPr>
            <w:tcW w:w="1674" w:type="dxa"/>
            <w:vAlign w:val="center"/>
          </w:tcPr>
          <w:p w:rsidR="0027648D" w:rsidRDefault="002B46A9"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876385"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876385"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83,2</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2B46A9"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876385"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876385"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83,2</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E41368"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 xml:space="preserve">Забезпечення діяльності місцевих центрів фізичного </w:t>
            </w:r>
            <w:proofErr w:type="spellStart"/>
            <w:r>
              <w:rPr>
                <w:rFonts w:ascii="Times New Roman" w:eastAsia="Times New Roman" w:hAnsi="Times New Roman" w:cs="Times New Roman"/>
                <w:sz w:val="24"/>
                <w:szCs w:val="24"/>
                <w:lang w:val="uk-UA" w:eastAsia="ru-RU"/>
              </w:rPr>
              <w:t>здоров</w:t>
            </w:r>
            <w:proofErr w:type="spellEnd"/>
            <w:r w:rsidRPr="00B037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я населення </w:t>
            </w:r>
            <w:r w:rsidRPr="00B037D1">
              <w:rPr>
                <w:rFonts w:ascii="Times New Roman" w:hAnsi="Times New Roman" w:cs="Times New Roman"/>
                <w:sz w:val="24"/>
                <w:szCs w:val="24"/>
                <w:lang w:val="uk-UA"/>
              </w:rPr>
              <w:t>«Спорт для всіх» та проведення фізкультурно-масових заходів серед населення регіону</w:t>
            </w:r>
            <w:r w:rsidRPr="00C87856">
              <w:rPr>
                <w:rFonts w:ascii="Times New Roman" w:hAnsi="Times New Roman" w:cs="Times New Roman"/>
                <w:sz w:val="24"/>
                <w:szCs w:val="24"/>
                <w:lang w:val="uk-UA"/>
              </w:rPr>
              <w:t>»</w:t>
            </w:r>
            <w:bookmarkStart w:id="0" w:name="_GoBack"/>
            <w:bookmarkEnd w:id="0"/>
          </w:p>
        </w:tc>
        <w:tc>
          <w:tcPr>
            <w:tcW w:w="5670" w:type="dxa"/>
          </w:tcPr>
          <w:p w:rsidR="00D56B9F" w:rsidRPr="00CE166A" w:rsidRDefault="00E41368" w:rsidP="00E04240">
            <w:pPr>
              <w:jc w:val="center"/>
              <w:rPr>
                <w:rFonts w:ascii="Times New Roman" w:hAnsi="Times New Roman" w:cs="Times New Roman"/>
                <w:sz w:val="24"/>
                <w:szCs w:val="24"/>
                <w:lang w:val="uk-UA"/>
              </w:rPr>
            </w:pPr>
            <w:r w:rsidRPr="00E41368">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lastRenderedPageBreak/>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7F6CCC">
        <w:rPr>
          <w:rFonts w:ascii="Times New Roman" w:hAnsi="Times New Roman" w:cs="Times New Roman"/>
          <w:b/>
          <w:sz w:val="28"/>
          <w:szCs w:val="28"/>
          <w:lang w:val="uk-UA"/>
        </w:rPr>
        <w:t xml:space="preserve">Забезпечення діяльності місцевих центрів фізичного </w:t>
      </w:r>
      <w:proofErr w:type="spellStart"/>
      <w:r w:rsidR="007F6CCC">
        <w:rPr>
          <w:rFonts w:ascii="Times New Roman" w:hAnsi="Times New Roman" w:cs="Times New Roman"/>
          <w:b/>
          <w:sz w:val="28"/>
          <w:szCs w:val="28"/>
          <w:lang w:val="uk-UA"/>
        </w:rPr>
        <w:t>здоров</w:t>
      </w:r>
      <w:proofErr w:type="spellEnd"/>
      <w:r w:rsidR="007F6CCC" w:rsidRPr="00EC07E6">
        <w:rPr>
          <w:rFonts w:ascii="Times New Roman" w:hAnsi="Times New Roman" w:cs="Times New Roman"/>
          <w:b/>
          <w:sz w:val="28"/>
          <w:szCs w:val="28"/>
        </w:rPr>
        <w:t>’</w:t>
      </w:r>
      <w:r w:rsidR="007F6CCC">
        <w:rPr>
          <w:rFonts w:ascii="Times New Roman" w:hAnsi="Times New Roman" w:cs="Times New Roman"/>
          <w:b/>
          <w:sz w:val="28"/>
          <w:szCs w:val="28"/>
          <w:lang w:val="uk-UA"/>
        </w:rPr>
        <w:t>я населення «Спорт для всіх» та проведення фізкультурно-масових заходів серед населення регіону</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876385"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876385">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876385" w:rsidRPr="006B71C9" w:rsidTr="00C86F55">
        <w:trPr>
          <w:jc w:val="center"/>
        </w:trPr>
        <w:tc>
          <w:tcPr>
            <w:tcW w:w="1972" w:type="dxa"/>
          </w:tcPr>
          <w:p w:rsidR="00876385" w:rsidRPr="003F1C46" w:rsidRDefault="00876385" w:rsidP="002543C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видатки на проведення фізкультурно-масових заходів серед населення регіону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1698,65</w:t>
            </w:r>
          </w:p>
        </w:tc>
        <w:tc>
          <w:tcPr>
            <w:tcW w:w="1236"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2043,00</w:t>
            </w:r>
          </w:p>
        </w:tc>
        <w:tc>
          <w:tcPr>
            <w:tcW w:w="1210"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83,2%</w:t>
            </w:r>
          </w:p>
        </w:tc>
        <w:tc>
          <w:tcPr>
            <w:tcW w:w="1353"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36"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76385" w:rsidRPr="006B71C9" w:rsidTr="00B91EA9">
        <w:trPr>
          <w:trHeight w:val="433"/>
          <w:jc w:val="center"/>
        </w:trPr>
        <w:tc>
          <w:tcPr>
            <w:tcW w:w="1972" w:type="dxa"/>
          </w:tcPr>
          <w:p w:rsidR="00876385" w:rsidRPr="006B71C9" w:rsidRDefault="00876385"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p>
        </w:tc>
        <w:tc>
          <w:tcPr>
            <w:tcW w:w="1236"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p>
        </w:tc>
        <w:tc>
          <w:tcPr>
            <w:tcW w:w="1210"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p>
        </w:tc>
        <w:tc>
          <w:tcPr>
            <w:tcW w:w="1353"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p>
        </w:tc>
        <w:tc>
          <w:tcPr>
            <w:tcW w:w="1236"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p>
        </w:tc>
        <w:tc>
          <w:tcPr>
            <w:tcW w:w="1209"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p>
        </w:tc>
      </w:tr>
      <w:tr w:rsidR="00876385" w:rsidRPr="006B71C9" w:rsidTr="00C86F55">
        <w:trPr>
          <w:jc w:val="center"/>
        </w:trPr>
        <w:tc>
          <w:tcPr>
            <w:tcW w:w="1972" w:type="dxa"/>
          </w:tcPr>
          <w:p w:rsidR="00876385" w:rsidRPr="00353F2B" w:rsidRDefault="00876385"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Динаміка збільшення заходів у плановому періоді</w:t>
            </w:r>
          </w:p>
        </w:tc>
        <w:tc>
          <w:tcPr>
            <w:tcW w:w="1354"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876385" w:rsidRPr="006B71C9" w:rsidRDefault="00876385" w:rsidP="00B61F9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36"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876385" w:rsidRPr="006B71C9" w:rsidRDefault="0087638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459915"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459916"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76385">
              <w:rPr>
                <w:rFonts w:ascii="Times New Roman" w:hAnsi="Times New Roman" w:cs="Times New Roman"/>
                <w:lang w:val="uk-UA"/>
              </w:rPr>
              <w:t>= 0</w:t>
            </w:r>
          </w:p>
          <w:p w:rsidR="003E1405" w:rsidRPr="003E1405" w:rsidRDefault="00F71524" w:rsidP="00876385">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459917"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876385">
              <w:rPr>
                <w:rFonts w:ascii="Times New Roman" w:hAnsi="Times New Roman" w:cs="Times New Roman"/>
                <w:lang w:val="uk-UA"/>
              </w:rPr>
              <w:t>(1698,65/2043)÷1*100=83,2</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459918"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360DF5">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459919"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876385">
              <w:rPr>
                <w:rFonts w:ascii="Times New Roman" w:hAnsi="Times New Roman" w:cs="Times New Roman"/>
                <w:lang w:val="uk-UA"/>
              </w:rPr>
              <w:t>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459920"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876385">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459921" r:id="rId19"/>
              </w:object>
            </w:r>
            <w:r w:rsidRPr="001C53FA">
              <w:rPr>
                <w:rFonts w:ascii="Times New Roman" w:hAnsi="Times New Roman" w:cs="Times New Roman"/>
                <w:lang w:val="uk-UA"/>
              </w:rPr>
              <w:t xml:space="preserve"> = </w:t>
            </w:r>
            <w:r w:rsidR="00876385">
              <w:rPr>
                <w:rFonts w:ascii="Times New Roman" w:hAnsi="Times New Roman" w:cs="Times New Roman"/>
                <w:lang w:val="uk-UA"/>
              </w:rPr>
              <w:t>0</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459922"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459923"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459924"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459925"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459926"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876385">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876385">
              <w:rPr>
                <w:rFonts w:ascii="Times New Roman" w:hAnsi="Times New Roman"/>
                <w:sz w:val="28"/>
                <w:szCs w:val="28"/>
                <w:lang w:val="uk-UA"/>
              </w:rPr>
              <w:t>0+</w:t>
            </w:r>
            <w:r w:rsidR="00360DF5">
              <w:rPr>
                <w:rFonts w:ascii="Times New Roman" w:hAnsi="Times New Roman"/>
                <w:sz w:val="28"/>
                <w:szCs w:val="28"/>
                <w:lang w:val="uk-UA"/>
              </w:rPr>
              <w:t>83,2</w:t>
            </w:r>
            <w:r w:rsidR="006E099F">
              <w:rPr>
                <w:rFonts w:ascii="Times New Roman" w:hAnsi="Times New Roman"/>
                <w:sz w:val="28"/>
                <w:szCs w:val="28"/>
                <w:lang w:val="uk-UA"/>
              </w:rPr>
              <w:t>+</w:t>
            </w:r>
            <w:r w:rsidR="00876385">
              <w:rPr>
                <w:rFonts w:ascii="Times New Roman" w:hAnsi="Times New Roman"/>
                <w:sz w:val="28"/>
                <w:szCs w:val="28"/>
                <w:lang w:val="uk-UA"/>
              </w:rPr>
              <w:t>0</w:t>
            </w:r>
            <w:r>
              <w:rPr>
                <w:rFonts w:ascii="Times New Roman" w:hAnsi="Times New Roman"/>
                <w:sz w:val="28"/>
                <w:szCs w:val="28"/>
                <w:lang w:val="uk-UA"/>
              </w:rPr>
              <w:t xml:space="preserve"> = </w:t>
            </w:r>
            <w:r w:rsidR="00876385">
              <w:rPr>
                <w:rFonts w:ascii="Times New Roman" w:hAnsi="Times New Roman"/>
                <w:sz w:val="28"/>
                <w:szCs w:val="28"/>
                <w:lang w:val="uk-UA"/>
              </w:rPr>
              <w:t>83,2</w:t>
            </w:r>
            <w:r w:rsidR="00E15FD8">
              <w:rPr>
                <w:rFonts w:ascii="Times New Roman" w:hAnsi="Times New Roman"/>
                <w:sz w:val="28"/>
                <w:szCs w:val="28"/>
                <w:lang w:val="uk-UA"/>
              </w:rPr>
              <w:t xml:space="preserve"> бал</w:t>
            </w:r>
            <w:r w:rsidR="00526044">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0" o:title=""/>
          </v:shape>
          <o:OLEObject Type="Embed" ProgID="Equation.3" ShapeID="_x0000_i1037" DrawAspect="Content" ObjectID="_1737459927"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2" o:title=""/>
          </v:shape>
          <o:OLEObject Type="Embed" ProgID="Equation.3" ShapeID="_x0000_i1038" DrawAspect="Content" ObjectID="_1737459928"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4" o:title=""/>
          </v:shape>
          <o:OLEObject Type="Embed" ProgID="Equation.3" ShapeID="_x0000_i1039" DrawAspect="Content" ObjectID="_1737459929" r:id="rId35"/>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lastRenderedPageBreak/>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1665D4" w:rsidTr="00A700AC">
        <w:tc>
          <w:tcPr>
            <w:tcW w:w="9344" w:type="dxa"/>
          </w:tcPr>
          <w:p w:rsidR="005F5F84" w:rsidRDefault="001C53FA" w:rsidP="00876385">
            <w:pPr>
              <w:ind w:firstLine="709"/>
              <w:jc w:val="both"/>
              <w:rPr>
                <w:rFonts w:ascii="Times New Roman" w:eastAsia="Calibri" w:hAnsi="Times New Roman" w:cs="Times New Roman"/>
                <w:sz w:val="24"/>
                <w:szCs w:val="24"/>
                <w:lang w:val="uk-UA"/>
              </w:rPr>
            </w:pPr>
            <w:r w:rsidRPr="00A87C61">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6E099F" w:rsidRPr="00B037D1">
              <w:rPr>
                <w:rFonts w:ascii="Times New Roman" w:hAnsi="Times New Roman" w:cs="Times New Roman"/>
                <w:sz w:val="24"/>
                <w:szCs w:val="24"/>
                <w:lang w:val="uk-UA"/>
              </w:rPr>
              <w:t xml:space="preserve">Забезпечення діяльності місцевих центрів фізичного </w:t>
            </w:r>
            <w:proofErr w:type="spellStart"/>
            <w:r w:rsidR="006E099F" w:rsidRPr="00B037D1">
              <w:rPr>
                <w:rFonts w:ascii="Times New Roman" w:hAnsi="Times New Roman" w:cs="Times New Roman"/>
                <w:sz w:val="24"/>
                <w:szCs w:val="24"/>
                <w:lang w:val="uk-UA"/>
              </w:rPr>
              <w:t>здоров</w:t>
            </w:r>
            <w:proofErr w:type="spellEnd"/>
            <w:r w:rsidR="006E099F" w:rsidRPr="00B037D1">
              <w:rPr>
                <w:rFonts w:ascii="Times New Roman" w:hAnsi="Times New Roman" w:cs="Times New Roman"/>
                <w:sz w:val="24"/>
                <w:szCs w:val="24"/>
              </w:rPr>
              <w:t>’</w:t>
            </w:r>
            <w:r w:rsidR="006E099F" w:rsidRPr="00B037D1">
              <w:rPr>
                <w:rFonts w:ascii="Times New Roman" w:hAnsi="Times New Roman" w:cs="Times New Roman"/>
                <w:sz w:val="24"/>
                <w:szCs w:val="24"/>
                <w:lang w:val="uk-UA"/>
              </w:rPr>
              <w:t>я населення «Спорт для всіх» та проведення фізкультурно-масових заходів серед населення регіону</w:t>
            </w:r>
            <w:r w:rsidR="004B107A" w:rsidRPr="00A87C61">
              <w:rPr>
                <w:rFonts w:ascii="Times New Roman" w:hAnsi="Times New Roman" w:cs="Times New Roman"/>
                <w:sz w:val="24"/>
                <w:szCs w:val="24"/>
                <w:lang w:val="uk-UA"/>
              </w:rPr>
              <w:t>»</w:t>
            </w:r>
            <w:r w:rsidRPr="00A87C61">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sidRPr="00A87C61">
              <w:rPr>
                <w:rFonts w:ascii="Times New Roman" w:hAnsi="Times New Roman" w:cs="Times New Roman"/>
                <w:sz w:val="24"/>
                <w:szCs w:val="24"/>
                <w:lang w:val="uk-UA"/>
              </w:rPr>
              <w:t xml:space="preserve"> </w:t>
            </w:r>
            <w:r w:rsidR="00876385">
              <w:rPr>
                <w:rFonts w:ascii="Times New Roman" w:hAnsi="Times New Roman" w:cs="Times New Roman"/>
                <w:sz w:val="24"/>
                <w:szCs w:val="24"/>
                <w:lang w:val="uk-UA"/>
              </w:rPr>
              <w:t>83,2</w:t>
            </w:r>
            <w:r w:rsidR="00EA6803" w:rsidRPr="00A87C61">
              <w:rPr>
                <w:rFonts w:ascii="Times New Roman" w:hAnsi="Times New Roman" w:cs="Times New Roman"/>
                <w:sz w:val="24"/>
                <w:szCs w:val="24"/>
                <w:lang w:val="uk-UA"/>
              </w:rPr>
              <w:t xml:space="preserve"> </w:t>
            </w:r>
            <w:r w:rsidR="0067009E" w:rsidRPr="00A87C61">
              <w:rPr>
                <w:rFonts w:ascii="Times New Roman" w:hAnsi="Times New Roman" w:cs="Times New Roman"/>
                <w:sz w:val="24"/>
                <w:szCs w:val="24"/>
                <w:lang w:val="uk-UA"/>
              </w:rPr>
              <w:t>бал</w:t>
            </w:r>
            <w:r w:rsidR="00526044">
              <w:rPr>
                <w:rFonts w:ascii="Times New Roman" w:hAnsi="Times New Roman" w:cs="Times New Roman"/>
                <w:sz w:val="24"/>
                <w:szCs w:val="24"/>
                <w:lang w:val="uk-UA"/>
              </w:rPr>
              <w:t>ів</w:t>
            </w:r>
            <w:r w:rsidR="003100C2" w:rsidRPr="00A87C61">
              <w:rPr>
                <w:rFonts w:ascii="Times New Roman" w:hAnsi="Times New Roman" w:cs="Times New Roman"/>
                <w:sz w:val="24"/>
                <w:szCs w:val="24"/>
                <w:lang w:val="uk-UA"/>
              </w:rPr>
              <w:t>.</w:t>
            </w:r>
            <w:r w:rsidR="008D7D03" w:rsidRPr="008D7D03">
              <w:rPr>
                <w:rFonts w:ascii="Times New Roman" w:eastAsia="Calibri" w:hAnsi="Times New Roman" w:cs="Times New Roman"/>
                <w:sz w:val="24"/>
                <w:szCs w:val="24"/>
                <w:lang w:val="uk-UA"/>
              </w:rPr>
              <w:t xml:space="preserve"> Відповідно до шкали оцінки ефективності бюджетної програми бюджетна програма «</w:t>
            </w:r>
            <w:r w:rsidR="006E099F" w:rsidRPr="00B037D1">
              <w:rPr>
                <w:rFonts w:ascii="Times New Roman" w:hAnsi="Times New Roman" w:cs="Times New Roman"/>
                <w:sz w:val="24"/>
                <w:szCs w:val="24"/>
                <w:lang w:val="uk-UA"/>
              </w:rPr>
              <w:t>Забезпечення діяльності місцевих центрів фізичного здоров</w:t>
            </w:r>
            <w:r w:rsidR="006E099F" w:rsidRPr="006E099F">
              <w:rPr>
                <w:rFonts w:ascii="Times New Roman" w:hAnsi="Times New Roman" w:cs="Times New Roman"/>
                <w:sz w:val="24"/>
                <w:szCs w:val="24"/>
                <w:lang w:val="uk-UA"/>
              </w:rPr>
              <w:t>’</w:t>
            </w:r>
            <w:r w:rsidR="006E099F" w:rsidRPr="00B037D1">
              <w:rPr>
                <w:rFonts w:ascii="Times New Roman" w:hAnsi="Times New Roman" w:cs="Times New Roman"/>
                <w:sz w:val="24"/>
                <w:szCs w:val="24"/>
                <w:lang w:val="uk-UA"/>
              </w:rPr>
              <w:t>я населення «Спорт для всіх» та проведення фізкультурно-масових заходів серед населення регіону</w:t>
            </w:r>
            <w:r w:rsidR="00360DF5">
              <w:rPr>
                <w:rFonts w:ascii="Times New Roman" w:eastAsia="Calibri" w:hAnsi="Times New Roman" w:cs="Times New Roman"/>
                <w:sz w:val="24"/>
                <w:szCs w:val="24"/>
                <w:lang w:val="uk-UA"/>
              </w:rPr>
              <w:t>» має</w:t>
            </w:r>
            <w:r w:rsidR="008D7D03" w:rsidRPr="008D7D03">
              <w:rPr>
                <w:rFonts w:ascii="Times New Roman" w:eastAsia="Calibri" w:hAnsi="Times New Roman" w:cs="Times New Roman"/>
                <w:sz w:val="24"/>
                <w:szCs w:val="24"/>
                <w:lang w:val="uk-UA"/>
              </w:rPr>
              <w:t xml:space="preserve"> </w:t>
            </w:r>
            <w:r w:rsidR="00876385">
              <w:rPr>
                <w:rFonts w:ascii="Times New Roman" w:eastAsia="Calibri" w:hAnsi="Times New Roman" w:cs="Times New Roman"/>
                <w:sz w:val="24"/>
                <w:szCs w:val="24"/>
                <w:lang w:val="uk-UA"/>
              </w:rPr>
              <w:t>низьку</w:t>
            </w:r>
            <w:r w:rsidR="002B46A9">
              <w:rPr>
                <w:rFonts w:ascii="Times New Roman" w:eastAsia="Calibri" w:hAnsi="Times New Roman" w:cs="Times New Roman"/>
                <w:sz w:val="24"/>
                <w:szCs w:val="24"/>
                <w:lang w:val="uk-UA"/>
              </w:rPr>
              <w:t xml:space="preserve"> ефективність</w:t>
            </w:r>
            <w:r w:rsidR="008D7D03" w:rsidRPr="008D7D03">
              <w:rPr>
                <w:rFonts w:ascii="Times New Roman" w:eastAsia="Calibri" w:hAnsi="Times New Roman" w:cs="Times New Roman"/>
                <w:sz w:val="24"/>
                <w:szCs w:val="24"/>
                <w:lang w:val="uk-UA"/>
              </w:rPr>
              <w:t xml:space="preserve"> бюджетної програми. </w:t>
            </w:r>
          </w:p>
          <w:p w:rsidR="00E41368" w:rsidRPr="002672DB" w:rsidRDefault="00E41368" w:rsidP="00876385">
            <w:pPr>
              <w:ind w:firstLine="709"/>
              <w:jc w:val="both"/>
              <w:rPr>
                <w:rFonts w:ascii="Times New Roman" w:hAnsi="Times New Roman" w:cs="Times New Roman"/>
                <w:sz w:val="24"/>
                <w:szCs w:val="24"/>
                <w:lang w:val="uk-UA"/>
              </w:rPr>
            </w:pPr>
            <w:r w:rsidRPr="00E41368">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EB2A91"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56B9A"/>
    <w:rsid w:val="000660A7"/>
    <w:rsid w:val="00093218"/>
    <w:rsid w:val="000947D1"/>
    <w:rsid w:val="000A14B6"/>
    <w:rsid w:val="000E0853"/>
    <w:rsid w:val="000F20F3"/>
    <w:rsid w:val="000F31FF"/>
    <w:rsid w:val="0010167E"/>
    <w:rsid w:val="001177EC"/>
    <w:rsid w:val="00132429"/>
    <w:rsid w:val="0013505E"/>
    <w:rsid w:val="001665D4"/>
    <w:rsid w:val="001C53FA"/>
    <w:rsid w:val="002543C2"/>
    <w:rsid w:val="002672DB"/>
    <w:rsid w:val="0027648D"/>
    <w:rsid w:val="00281F79"/>
    <w:rsid w:val="002979E1"/>
    <w:rsid w:val="002B2F62"/>
    <w:rsid w:val="002B46A9"/>
    <w:rsid w:val="002B5DE3"/>
    <w:rsid w:val="002D48EB"/>
    <w:rsid w:val="003100C2"/>
    <w:rsid w:val="003105A6"/>
    <w:rsid w:val="0032673C"/>
    <w:rsid w:val="00353F2B"/>
    <w:rsid w:val="00360DF5"/>
    <w:rsid w:val="003630AC"/>
    <w:rsid w:val="00365834"/>
    <w:rsid w:val="00375625"/>
    <w:rsid w:val="003B2842"/>
    <w:rsid w:val="003C0CB8"/>
    <w:rsid w:val="003D78CC"/>
    <w:rsid w:val="003E1405"/>
    <w:rsid w:val="003F1C46"/>
    <w:rsid w:val="003F5E02"/>
    <w:rsid w:val="0040793C"/>
    <w:rsid w:val="00422825"/>
    <w:rsid w:val="00444125"/>
    <w:rsid w:val="00461543"/>
    <w:rsid w:val="00463F54"/>
    <w:rsid w:val="00472CF7"/>
    <w:rsid w:val="0049778C"/>
    <w:rsid w:val="004B107A"/>
    <w:rsid w:val="004B2347"/>
    <w:rsid w:val="005253B8"/>
    <w:rsid w:val="00526044"/>
    <w:rsid w:val="00546B49"/>
    <w:rsid w:val="00591767"/>
    <w:rsid w:val="005F5F84"/>
    <w:rsid w:val="0060549C"/>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5BD4"/>
    <w:rsid w:val="00725CEE"/>
    <w:rsid w:val="00765774"/>
    <w:rsid w:val="007703F0"/>
    <w:rsid w:val="0077785C"/>
    <w:rsid w:val="00793655"/>
    <w:rsid w:val="00795877"/>
    <w:rsid w:val="007B12E5"/>
    <w:rsid w:val="007B1337"/>
    <w:rsid w:val="007F3377"/>
    <w:rsid w:val="007F6CCC"/>
    <w:rsid w:val="008242A9"/>
    <w:rsid w:val="00835762"/>
    <w:rsid w:val="00843680"/>
    <w:rsid w:val="00875E9F"/>
    <w:rsid w:val="00876385"/>
    <w:rsid w:val="008860E5"/>
    <w:rsid w:val="00894B09"/>
    <w:rsid w:val="008C1CA3"/>
    <w:rsid w:val="008D4986"/>
    <w:rsid w:val="008D7D03"/>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2115E"/>
    <w:rsid w:val="00A62477"/>
    <w:rsid w:val="00A63124"/>
    <w:rsid w:val="00A700AC"/>
    <w:rsid w:val="00A87C61"/>
    <w:rsid w:val="00AA007C"/>
    <w:rsid w:val="00AA25E9"/>
    <w:rsid w:val="00AF0F81"/>
    <w:rsid w:val="00B037D1"/>
    <w:rsid w:val="00B04719"/>
    <w:rsid w:val="00B403C4"/>
    <w:rsid w:val="00B5087E"/>
    <w:rsid w:val="00B6326E"/>
    <w:rsid w:val="00B728F2"/>
    <w:rsid w:val="00B73DE3"/>
    <w:rsid w:val="00B87399"/>
    <w:rsid w:val="00B91EA9"/>
    <w:rsid w:val="00B94ED5"/>
    <w:rsid w:val="00BD5E36"/>
    <w:rsid w:val="00BE12FF"/>
    <w:rsid w:val="00C74B6B"/>
    <w:rsid w:val="00C84195"/>
    <w:rsid w:val="00C844D4"/>
    <w:rsid w:val="00C86F55"/>
    <w:rsid w:val="00C87856"/>
    <w:rsid w:val="00C94271"/>
    <w:rsid w:val="00CC58E9"/>
    <w:rsid w:val="00CD570D"/>
    <w:rsid w:val="00CD6BDA"/>
    <w:rsid w:val="00CE166A"/>
    <w:rsid w:val="00D00943"/>
    <w:rsid w:val="00D276DE"/>
    <w:rsid w:val="00D42262"/>
    <w:rsid w:val="00D56B9F"/>
    <w:rsid w:val="00D77018"/>
    <w:rsid w:val="00D90DC3"/>
    <w:rsid w:val="00DA3C73"/>
    <w:rsid w:val="00DD1EC2"/>
    <w:rsid w:val="00DE627F"/>
    <w:rsid w:val="00DE714B"/>
    <w:rsid w:val="00DF14E3"/>
    <w:rsid w:val="00E04240"/>
    <w:rsid w:val="00E06FAB"/>
    <w:rsid w:val="00E15FD8"/>
    <w:rsid w:val="00E1671E"/>
    <w:rsid w:val="00E41368"/>
    <w:rsid w:val="00E56A36"/>
    <w:rsid w:val="00E672B9"/>
    <w:rsid w:val="00E70D0A"/>
    <w:rsid w:val="00E8044A"/>
    <w:rsid w:val="00EA6803"/>
    <w:rsid w:val="00EB21A8"/>
    <w:rsid w:val="00EB2A91"/>
    <w:rsid w:val="00EB3E0D"/>
    <w:rsid w:val="00EC07E6"/>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9330-9D49-4B28-BB7C-127EF5E0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158</cp:revision>
  <dcterms:created xsi:type="dcterms:W3CDTF">2022-02-09T14:16:00Z</dcterms:created>
  <dcterms:modified xsi:type="dcterms:W3CDTF">2023-02-09T12:58:00Z</dcterms:modified>
</cp:coreProperties>
</file>