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786EE4"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4D7DF9"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C5050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50507"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02182</w:t>
            </w:r>
            <w:r w:rsidR="009642F3">
              <w:rPr>
                <w:rFonts w:ascii="Times New Roman" w:hAnsi="Times New Roman" w:cs="Times New Roman"/>
                <w:b/>
                <w:sz w:val="28"/>
                <w:szCs w:val="28"/>
                <w:lang w:val="uk-UA"/>
              </w:rPr>
              <w:t>4</w:t>
            </w:r>
            <w:r w:rsidR="0064269F">
              <w:rPr>
                <w:rFonts w:ascii="Times New Roman" w:hAnsi="Times New Roman" w:cs="Times New Roman"/>
                <w:b/>
                <w:sz w:val="28"/>
                <w:szCs w:val="28"/>
                <w:lang w:val="uk-UA"/>
              </w:rPr>
              <w:t>0</w:t>
            </w:r>
          </w:p>
        </w:tc>
        <w:tc>
          <w:tcPr>
            <w:tcW w:w="7229" w:type="dxa"/>
            <w:tcBorders>
              <w:bottom w:val="single" w:sz="4" w:space="0" w:color="auto"/>
            </w:tcBorders>
          </w:tcPr>
          <w:p w:rsidR="008D4986" w:rsidRPr="008D4986" w:rsidRDefault="0086314E"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Заходи та роботи з територіальної оборони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86314E" w:rsidRPr="0086314E">
              <w:rPr>
                <w:rFonts w:ascii="Times New Roman" w:hAnsi="Times New Roman" w:cs="Times New Roman"/>
                <w:sz w:val="24"/>
                <w:szCs w:val="24"/>
                <w:lang w:val="uk-UA"/>
              </w:rPr>
              <w:t>Заходи та роботи з територіальної оборони</w:t>
            </w:r>
            <w:r w:rsidR="00D00943" w:rsidRPr="00786EE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E316B">
        <w:trPr>
          <w:trHeight w:val="1192"/>
        </w:trPr>
        <w:tc>
          <w:tcPr>
            <w:tcW w:w="4018" w:type="dxa"/>
            <w:gridSpan w:val="2"/>
          </w:tcPr>
          <w:p w:rsidR="0027648D" w:rsidRDefault="0027648D" w:rsidP="0086314E">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4858B2">
              <w:rPr>
                <w:rFonts w:ascii="Times New Roman" w:hAnsi="Times New Roman" w:cs="Times New Roman"/>
                <w:sz w:val="24"/>
                <w:szCs w:val="24"/>
                <w:lang w:val="uk-UA"/>
              </w:rPr>
              <w:t xml:space="preserve">Забезпечення </w:t>
            </w:r>
            <w:r w:rsidR="0086314E">
              <w:rPr>
                <w:rFonts w:ascii="Times New Roman" w:hAnsi="Times New Roman" w:cs="Times New Roman"/>
                <w:sz w:val="24"/>
                <w:szCs w:val="24"/>
                <w:lang w:val="uk-UA"/>
              </w:rPr>
              <w:t>належних умов для діяльності добровольчого формування територіальної оборони Степанківської сільської ради</w:t>
            </w:r>
            <w:r w:rsidRPr="00C87856">
              <w:rPr>
                <w:rFonts w:ascii="Times New Roman" w:hAnsi="Times New Roman" w:cs="Times New Roman"/>
                <w:sz w:val="24"/>
                <w:szCs w:val="24"/>
                <w:lang w:val="uk-UA"/>
              </w:rPr>
              <w:t>»</w:t>
            </w:r>
          </w:p>
        </w:tc>
        <w:tc>
          <w:tcPr>
            <w:tcW w:w="1674" w:type="dxa"/>
            <w:vAlign w:val="center"/>
          </w:tcPr>
          <w:p w:rsidR="0027648D" w:rsidRPr="00BB79C8" w:rsidRDefault="005E316B"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225,1</w:t>
            </w:r>
            <w:r w:rsidRPr="005E316B">
              <w:rPr>
                <w:rFonts w:ascii="Times New Roman" w:hAnsi="Times New Roman" w:cs="Times New Roman"/>
                <w:sz w:val="24"/>
                <w:szCs w:val="24"/>
                <w:lang w:val="uk-UA"/>
              </w:rPr>
              <w:t>(за скоригованою шкалою)</w:t>
            </w:r>
          </w:p>
        </w:tc>
        <w:tc>
          <w:tcPr>
            <w:tcW w:w="1869" w:type="dxa"/>
            <w:vAlign w:val="center"/>
          </w:tcPr>
          <w:p w:rsidR="0027648D" w:rsidRPr="00BB79C8" w:rsidRDefault="005E316B" w:rsidP="002979E1">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w:t>
            </w:r>
          </w:p>
        </w:tc>
        <w:tc>
          <w:tcPr>
            <w:tcW w:w="1869" w:type="dxa"/>
            <w:vAlign w:val="center"/>
          </w:tcPr>
          <w:p w:rsidR="0027648D" w:rsidRPr="00BB79C8" w:rsidRDefault="002D4CD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5E316B"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225,1</w:t>
            </w:r>
          </w:p>
        </w:tc>
        <w:tc>
          <w:tcPr>
            <w:tcW w:w="1869" w:type="dxa"/>
          </w:tcPr>
          <w:p w:rsidR="0027648D" w:rsidRPr="00BB79C8" w:rsidRDefault="005E316B"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bookmarkStart w:id="0" w:name="_GoBack"/>
            <w:bookmarkEnd w:id="0"/>
          </w:p>
        </w:tc>
        <w:tc>
          <w:tcPr>
            <w:tcW w:w="1869" w:type="dxa"/>
          </w:tcPr>
          <w:p w:rsidR="0027648D" w:rsidRPr="00BB79C8" w:rsidRDefault="002D4CD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86314E">
        <w:rPr>
          <w:rFonts w:ascii="Times New Roman" w:hAnsi="Times New Roman" w:cs="Times New Roman"/>
          <w:b/>
          <w:sz w:val="28"/>
          <w:szCs w:val="28"/>
          <w:lang w:val="uk-UA"/>
        </w:rPr>
        <w:t>Заходи та роботи з територіальної оборони</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10115" w:type="dxa"/>
        <w:jc w:val="center"/>
        <w:tblInd w:w="-176" w:type="dxa"/>
        <w:tblLayout w:type="fixed"/>
        <w:tblLook w:val="04A0" w:firstRow="1" w:lastRow="0" w:firstColumn="1" w:lastColumn="0" w:noHBand="0" w:noVBand="1"/>
      </w:tblPr>
      <w:tblGrid>
        <w:gridCol w:w="2039"/>
        <w:gridCol w:w="1463"/>
        <w:gridCol w:w="1236"/>
        <w:gridCol w:w="1210"/>
        <w:gridCol w:w="1237"/>
        <w:gridCol w:w="1418"/>
        <w:gridCol w:w="1512"/>
      </w:tblGrid>
      <w:tr w:rsidR="006B71C9" w:rsidRPr="006B71C9" w:rsidTr="006A34F1">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4D7DF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4167"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4D7DF9">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86314E">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237"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418"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512"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86314E">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7"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418"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512"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D7DF9" w:rsidRPr="006B71C9" w:rsidTr="0086314E">
        <w:trPr>
          <w:jc w:val="center"/>
        </w:trPr>
        <w:tc>
          <w:tcPr>
            <w:tcW w:w="2039" w:type="dxa"/>
          </w:tcPr>
          <w:p w:rsidR="004D7DF9" w:rsidRPr="00136735" w:rsidRDefault="004D7DF9" w:rsidP="0086314E">
            <w:pPr>
              <w:pStyle w:val="a4"/>
              <w:ind w:left="0"/>
              <w:jc w:val="center"/>
              <w:rPr>
                <w:rFonts w:ascii="Times New Roman" w:hAnsi="Times New Roman" w:cs="Times New Roman"/>
                <w:sz w:val="24"/>
                <w:szCs w:val="24"/>
                <w:lang w:val="uk-UA"/>
              </w:rPr>
            </w:pPr>
            <w:r w:rsidRPr="0064269F">
              <w:rPr>
                <w:rFonts w:ascii="Times New Roman" w:eastAsia="Calibri" w:hAnsi="Times New Roman" w:cs="Times New Roman"/>
                <w:sz w:val="24"/>
                <w:szCs w:val="24"/>
                <w:lang w:val="uk-UA"/>
              </w:rPr>
              <w:t xml:space="preserve">Середні  </w:t>
            </w:r>
            <w:r w:rsidR="0086314E">
              <w:rPr>
                <w:rFonts w:ascii="Times New Roman" w:eastAsia="Calibri" w:hAnsi="Times New Roman" w:cs="Times New Roman"/>
                <w:sz w:val="24"/>
                <w:szCs w:val="24"/>
                <w:lang w:val="uk-UA"/>
              </w:rPr>
              <w:t>витрати на придбання одного матеріально-технічного засобу</w:t>
            </w:r>
            <w:r>
              <w:rPr>
                <w:rFonts w:ascii="Times New Roman" w:eastAsia="Calibri" w:hAnsi="Times New Roman" w:cs="Times New Roman"/>
                <w:sz w:val="20"/>
                <w:szCs w:val="20"/>
                <w:lang w:val="uk-UA"/>
              </w:rPr>
              <w:t xml:space="preserve">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p>
        </w:tc>
        <w:tc>
          <w:tcPr>
            <w:tcW w:w="1237" w:type="dxa"/>
            <w:vAlign w:val="center"/>
          </w:tcPr>
          <w:p w:rsidR="004D7DF9" w:rsidRPr="000C47C0" w:rsidRDefault="0086314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2500,00</w:t>
            </w:r>
          </w:p>
        </w:tc>
        <w:tc>
          <w:tcPr>
            <w:tcW w:w="1418" w:type="dxa"/>
            <w:vAlign w:val="center"/>
          </w:tcPr>
          <w:p w:rsidR="004D7DF9" w:rsidRPr="000C47C0" w:rsidRDefault="0086314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1999,99</w:t>
            </w:r>
          </w:p>
        </w:tc>
        <w:tc>
          <w:tcPr>
            <w:tcW w:w="1512" w:type="dxa"/>
            <w:vAlign w:val="center"/>
          </w:tcPr>
          <w:p w:rsidR="004D7DF9" w:rsidRPr="000C47C0" w:rsidRDefault="0086314E" w:rsidP="008631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125,1</w:t>
            </w:r>
            <w:r w:rsidR="004D7DF9" w:rsidRPr="000C47C0">
              <w:rPr>
                <w:rFonts w:ascii="Times New Roman" w:hAnsi="Times New Roman" w:cs="Times New Roman"/>
                <w:sz w:val="24"/>
                <w:szCs w:val="24"/>
                <w:lang w:val="uk-UA"/>
              </w:rPr>
              <w:t>%</w:t>
            </w:r>
          </w:p>
        </w:tc>
      </w:tr>
      <w:tr w:rsidR="004D7DF9" w:rsidRPr="006B71C9" w:rsidTr="0086314E">
        <w:trPr>
          <w:trHeight w:val="433"/>
          <w:jc w:val="center"/>
        </w:trPr>
        <w:tc>
          <w:tcPr>
            <w:tcW w:w="2039" w:type="dxa"/>
          </w:tcPr>
          <w:p w:rsidR="004D7DF9" w:rsidRPr="006B71C9" w:rsidRDefault="004D7DF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7"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418"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512"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r>
      <w:tr w:rsidR="004D7DF9" w:rsidRPr="006B71C9" w:rsidTr="0086314E">
        <w:trPr>
          <w:jc w:val="center"/>
        </w:trPr>
        <w:tc>
          <w:tcPr>
            <w:tcW w:w="2039" w:type="dxa"/>
          </w:tcPr>
          <w:p w:rsidR="004D7DF9" w:rsidRPr="0064269F" w:rsidRDefault="0086314E" w:rsidP="003B1173">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Частка закуплених матеріально-технічних засобів</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7" w:type="dxa"/>
            <w:vAlign w:val="center"/>
          </w:tcPr>
          <w:p w:rsidR="004D7DF9" w:rsidRPr="006B71C9" w:rsidRDefault="0086314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18" w:type="dxa"/>
            <w:vAlign w:val="center"/>
          </w:tcPr>
          <w:p w:rsidR="004D7DF9" w:rsidRPr="006B71C9" w:rsidRDefault="0086314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512"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731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C50507" w:rsidRDefault="00F71524" w:rsidP="00C50507">
            <w:pPr>
              <w:rPr>
                <w:rFonts w:ascii="Times New Roman" w:hAnsi="Times New Roman" w:cs="Times New Roman"/>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8731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810F01" w:rsidRPr="00F71524">
              <w:rPr>
                <w:rFonts w:ascii="Times New Roman" w:hAnsi="Times New Roman" w:cs="Times New Roman"/>
                <w:lang w:val="uk-UA"/>
              </w:rPr>
              <w:t>(</w:t>
            </w:r>
            <w:r w:rsidR="0086314E">
              <w:rPr>
                <w:rFonts w:ascii="Times New Roman" w:hAnsi="Times New Roman" w:cs="Times New Roman"/>
                <w:lang w:val="uk-UA"/>
              </w:rPr>
              <w:t>2500/1999,99</w:t>
            </w:r>
            <w:r w:rsidR="003A5611">
              <w:rPr>
                <w:rFonts w:ascii="Times New Roman" w:hAnsi="Times New Roman" w:cs="Times New Roman"/>
                <w:lang w:val="uk-UA"/>
              </w:rPr>
              <w:t>)÷</w:t>
            </w:r>
            <w:r w:rsidR="00C50507">
              <w:rPr>
                <w:rFonts w:ascii="Times New Roman" w:hAnsi="Times New Roman" w:cs="Times New Roman"/>
                <w:lang w:val="uk-UA"/>
              </w:rPr>
              <w:t>1</w:t>
            </w:r>
            <w:r w:rsidR="003A5611">
              <w:rPr>
                <w:rFonts w:ascii="Times New Roman" w:hAnsi="Times New Roman" w:cs="Times New Roman"/>
                <w:lang w:val="uk-UA"/>
              </w:rPr>
              <w:t>*100=</w:t>
            </w:r>
            <w:r w:rsidR="00C50507">
              <w:rPr>
                <w:rFonts w:ascii="Times New Roman" w:hAnsi="Times New Roman" w:cs="Times New Roman"/>
                <w:lang w:val="uk-UA"/>
              </w:rPr>
              <w:t>1</w:t>
            </w:r>
            <w:r w:rsidR="0086314E">
              <w:rPr>
                <w:rFonts w:ascii="Times New Roman" w:hAnsi="Times New Roman" w:cs="Times New Roman"/>
                <w:lang w:val="uk-UA"/>
              </w:rPr>
              <w:t>25,1</w:t>
            </w:r>
          </w:p>
          <w:p w:rsidR="003E1405" w:rsidRPr="003E1405" w:rsidRDefault="00F71524" w:rsidP="00C50507">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8731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C50507">
              <w:rPr>
                <w:rFonts w:ascii="Times New Roman" w:hAnsi="Times New Roman" w:cs="Times New Roman"/>
                <w:lang w:val="uk-UA"/>
              </w:rPr>
              <w:t>0</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8731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029CB">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87318" r:id="rId15"/>
              </w:object>
            </w:r>
            <w:r w:rsidR="00E15FD8">
              <w:rPr>
                <w:rFonts w:ascii="Times New Roman" w:hAnsi="Times New Roman" w:cs="Times New Roman"/>
                <w:lang w:val="uk-UA"/>
              </w:rPr>
              <w:t>звіт=</w:t>
            </w:r>
            <w:r w:rsidR="00810F01">
              <w:rPr>
                <w:rFonts w:ascii="Times New Roman" w:hAnsi="Times New Roman" w:cs="Times New Roman"/>
                <w:lang w:val="uk-UA"/>
              </w:rPr>
              <w:t>(100/100)÷1*100=100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Default="001C53FA" w:rsidP="00B73DE3">
      <w:pPr>
        <w:spacing w:line="360" w:lineRule="auto"/>
        <w:jc w:val="center"/>
        <w:rPr>
          <w:rFonts w:ascii="Times New Roman" w:hAnsi="Times New Roman"/>
          <w:szCs w:val="28"/>
          <w:lang w:val="uk-UA"/>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87319" r:id="rId17"/>
        </w:object>
      </w:r>
    </w:p>
    <w:p w:rsidR="00D15EAA" w:rsidRPr="00D15EAA" w:rsidRDefault="00D15EAA" w:rsidP="00B73DE3">
      <w:pPr>
        <w:spacing w:line="360" w:lineRule="auto"/>
        <w:jc w:val="center"/>
        <w:rPr>
          <w:rFonts w:ascii="Times New Roman" w:hAnsi="Times New Roman"/>
          <w:szCs w:val="28"/>
          <w:lang w:val="uk-UA"/>
        </w:rPr>
      </w:pP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C50507">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87320" r:id="rId19"/>
              </w:object>
            </w:r>
            <w:r w:rsidRPr="001C53FA">
              <w:rPr>
                <w:rFonts w:ascii="Times New Roman" w:hAnsi="Times New Roman" w:cs="Times New Roman"/>
                <w:lang w:val="uk-UA"/>
              </w:rPr>
              <w:t xml:space="preserve"> = </w:t>
            </w:r>
            <w:r w:rsidR="00C50507">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87321"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87322"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8732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8732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87325"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Default="001C53FA" w:rsidP="00C50507">
            <w:pPr>
              <w:spacing w:line="360" w:lineRule="auto"/>
              <w:rPr>
                <w:rFonts w:ascii="Times New Roman" w:hAnsi="Times New Roman"/>
                <w:sz w:val="28"/>
                <w:szCs w:val="28"/>
                <w:lang w:val="uk-UA"/>
              </w:rPr>
            </w:pPr>
            <w:r>
              <w:rPr>
                <w:rFonts w:ascii="Times New Roman" w:hAnsi="Times New Roman"/>
                <w:sz w:val="28"/>
                <w:szCs w:val="28"/>
                <w:lang w:val="uk-UA"/>
              </w:rPr>
              <w:t>Е =</w:t>
            </w:r>
            <w:r w:rsidR="0086314E">
              <w:rPr>
                <w:rFonts w:ascii="Times New Roman" w:hAnsi="Times New Roman"/>
                <w:sz w:val="28"/>
                <w:szCs w:val="28"/>
                <w:lang w:val="uk-UA"/>
              </w:rPr>
              <w:t>125,1</w:t>
            </w:r>
            <w:r w:rsidR="00C50507">
              <w:rPr>
                <w:rFonts w:ascii="Times New Roman" w:hAnsi="Times New Roman"/>
                <w:sz w:val="28"/>
                <w:szCs w:val="28"/>
                <w:lang w:val="uk-UA"/>
              </w:rPr>
              <w:t>+</w:t>
            </w:r>
            <w:r w:rsidR="00332A31">
              <w:rPr>
                <w:rFonts w:ascii="Times New Roman" w:hAnsi="Times New Roman"/>
                <w:sz w:val="28"/>
                <w:szCs w:val="28"/>
                <w:lang w:val="uk-UA"/>
              </w:rPr>
              <w:t>10</w:t>
            </w:r>
            <w:r w:rsidR="00CA3AB5">
              <w:rPr>
                <w:rFonts w:ascii="Times New Roman" w:hAnsi="Times New Roman"/>
                <w:sz w:val="28"/>
                <w:szCs w:val="28"/>
                <w:lang w:val="uk-UA"/>
              </w:rPr>
              <w:t>0</w:t>
            </w:r>
            <w:r w:rsidR="003029CB">
              <w:rPr>
                <w:rFonts w:ascii="Times New Roman" w:hAnsi="Times New Roman"/>
                <w:sz w:val="28"/>
                <w:szCs w:val="28"/>
                <w:lang w:val="uk-UA"/>
              </w:rPr>
              <w:t>+</w:t>
            </w:r>
            <w:r w:rsidR="00C50507">
              <w:rPr>
                <w:rFonts w:ascii="Times New Roman" w:hAnsi="Times New Roman"/>
                <w:sz w:val="28"/>
                <w:szCs w:val="28"/>
                <w:lang w:val="uk-UA"/>
              </w:rPr>
              <w:t>0</w:t>
            </w:r>
            <w:r w:rsidR="00547C22">
              <w:rPr>
                <w:rFonts w:ascii="Times New Roman" w:hAnsi="Times New Roman"/>
                <w:sz w:val="28"/>
                <w:szCs w:val="28"/>
                <w:lang w:val="uk-UA"/>
              </w:rPr>
              <w:t>=</w:t>
            </w:r>
            <w:r w:rsidR="0086314E">
              <w:rPr>
                <w:rFonts w:ascii="Times New Roman" w:hAnsi="Times New Roman"/>
                <w:sz w:val="28"/>
                <w:szCs w:val="28"/>
                <w:lang w:val="uk-UA"/>
              </w:rPr>
              <w:t>225,1</w:t>
            </w:r>
            <w:r w:rsidR="002439D1">
              <w:rPr>
                <w:rFonts w:ascii="Times New Roman" w:hAnsi="Times New Roman"/>
                <w:sz w:val="28"/>
                <w:szCs w:val="28"/>
                <w:lang w:val="uk-UA"/>
              </w:rPr>
              <w:t xml:space="preserve"> </w:t>
            </w:r>
            <w:r w:rsidR="00E15FD8">
              <w:rPr>
                <w:rFonts w:ascii="Times New Roman" w:hAnsi="Times New Roman"/>
                <w:sz w:val="28"/>
                <w:szCs w:val="28"/>
                <w:lang w:val="uk-UA"/>
              </w:rPr>
              <w:t>бал</w:t>
            </w:r>
            <w:r w:rsidR="009665FB">
              <w:rPr>
                <w:rFonts w:ascii="Times New Roman" w:hAnsi="Times New Roman"/>
                <w:sz w:val="28"/>
                <w:szCs w:val="28"/>
                <w:lang w:val="uk-UA"/>
              </w:rPr>
              <w:t>ів</w:t>
            </w:r>
            <w:r w:rsidR="00994643">
              <w:rPr>
                <w:rFonts w:ascii="Times New Roman" w:hAnsi="Times New Roman"/>
                <w:sz w:val="28"/>
                <w:szCs w:val="28"/>
                <w:lang w:val="uk-UA"/>
              </w:rPr>
              <w:t xml:space="preserve">    </w:t>
            </w:r>
          </w:p>
          <w:p w:rsidR="00332A31" w:rsidRPr="00332A31" w:rsidRDefault="00332A31" w:rsidP="00332A31">
            <w:pPr>
              <w:rPr>
                <w:rFonts w:ascii="Times New Roman" w:hAnsi="Times New Roman" w:cs="Times New Roman"/>
                <w:sz w:val="24"/>
                <w:szCs w:val="24"/>
                <w:lang w:val="uk-UA"/>
              </w:rPr>
            </w:pPr>
            <w:r w:rsidRPr="00332A31">
              <w:rPr>
                <w:rFonts w:ascii="Times New Roman" w:eastAsia="Calibri" w:hAnsi="Times New Roman" w:cs="Times New Roman"/>
                <w:sz w:val="24"/>
                <w:szCs w:val="24"/>
                <w:lang w:val="uk-UA"/>
              </w:rPr>
              <w:t xml:space="preserve">Так як результативні показники ефективності та якості бюджетної програми почали діяти з 2021 року та не містить показників за попередній бюджетний період, то відповідно шкала оцінки ефективності бюджетної  програми коригується на 100 балів (відсутність даних для розрахунку кожного з параметрів оцінки зменшує відповідне значення шкали ефективності програми на 100 балів (для </w:t>
            </w:r>
            <w:r w:rsidRPr="00332A31">
              <w:rPr>
                <w:rFonts w:ascii="Times New Roman" w:eastAsia="Calibri" w:hAnsi="Times New Roman" w:cs="Times New Roman"/>
                <w:position w:val="-14"/>
                <w:sz w:val="24"/>
                <w:szCs w:val="24"/>
              </w:rPr>
              <w:object w:dxaOrig="460" w:dyaOrig="400">
                <v:shape id="_x0000_i1037" type="#_x0000_t75" style="width:23pt;height:19.9pt" o:ole="">
                  <v:imagedata r:id="rId9" o:title=""/>
                </v:shape>
                <o:OLEObject Type="Embed" ProgID="Equation.3" ShapeID="_x0000_i1037" DrawAspect="Content" ObjectID="_1737787326" r:id="rId30"/>
              </w:object>
            </w:r>
            <w:r w:rsidRPr="00332A31">
              <w:rPr>
                <w:rFonts w:ascii="Times New Roman" w:eastAsia="Calibri" w:hAnsi="Times New Roman" w:cs="Times New Roman"/>
                <w:sz w:val="24"/>
                <w:szCs w:val="24"/>
                <w:lang w:val="uk-UA"/>
              </w:rPr>
              <w:t>,</w:t>
            </w:r>
            <w:r w:rsidRPr="00332A31">
              <w:rPr>
                <w:rFonts w:ascii="Calibri" w:eastAsia="Calibri" w:hAnsi="Calibri" w:cs="Times New Roman"/>
                <w:position w:val="-14"/>
                <w:sz w:val="24"/>
                <w:szCs w:val="24"/>
              </w:rPr>
              <w:object w:dxaOrig="440" w:dyaOrig="400">
                <v:shape id="_x0000_i1038" type="#_x0000_t75" style="width:21.45pt;height:19.9pt" o:ole="">
                  <v:imagedata r:id="rId14" o:title=""/>
                </v:shape>
                <o:OLEObject Type="Embed" ProgID="Equation.3" ShapeID="_x0000_i1038" DrawAspect="Content" ObjectID="_1737787327" r:id="rId31"/>
              </w:object>
            </w:r>
            <w:r w:rsidRPr="00332A31">
              <w:rPr>
                <w:rFonts w:ascii="Times New Roman" w:eastAsia="Calibri" w:hAnsi="Times New Roman" w:cs="Times New Roman"/>
                <w:sz w:val="24"/>
                <w:szCs w:val="24"/>
                <w:lang w:val="uk-UA"/>
              </w:rPr>
              <w:t>).</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9" type="#_x0000_t75" style="width:23pt;height:19.9pt" o:ole="">
            <v:imagedata r:id="rId32" o:title=""/>
          </v:shape>
          <o:OLEObject Type="Embed" ProgID="Equation.3" ShapeID="_x0000_i1039" DrawAspect="Content" ObjectID="_1737787328" r:id="rId33"/>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40" type="#_x0000_t75" style="width:21.45pt;height:19.9pt" o:ole="">
            <v:imagedata r:id="rId34" o:title=""/>
          </v:shape>
          <o:OLEObject Type="Embed" ProgID="Equation.3" ShapeID="_x0000_i1040" DrawAspect="Content" ObjectID="_1737787329" r:id="rId35"/>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1" type="#_x0000_t75" style="width:11.5pt;height:18.4pt" o:ole="">
            <v:imagedata r:id="rId36" o:title=""/>
          </v:shape>
          <o:OLEObject Type="Embed" ProgID="Equation.3" ShapeID="_x0000_i1041" DrawAspect="Content" ObjectID="_1737787330" r:id="rId37"/>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Default="00E56A36" w:rsidP="00652226">
      <w:pPr>
        <w:spacing w:after="0" w:line="240" w:lineRule="auto"/>
        <w:jc w:val="both"/>
        <w:rPr>
          <w:rFonts w:ascii="Times New Roman" w:hAnsi="Times New Roman" w:cs="Times New Roman"/>
          <w:sz w:val="24"/>
          <w:szCs w:val="24"/>
          <w:lang w:val="uk-UA"/>
        </w:rPr>
      </w:pPr>
    </w:p>
    <w:p w:rsidR="007D4365" w:rsidRDefault="007D4365" w:rsidP="00652226">
      <w:pPr>
        <w:spacing w:after="0" w:line="240" w:lineRule="auto"/>
        <w:jc w:val="both"/>
        <w:rPr>
          <w:rFonts w:ascii="Times New Roman" w:hAnsi="Times New Roman" w:cs="Times New Roman"/>
          <w:sz w:val="24"/>
          <w:szCs w:val="24"/>
          <w:lang w:val="uk-UA"/>
        </w:rPr>
      </w:pPr>
    </w:p>
    <w:p w:rsidR="007D4365" w:rsidRPr="00652226" w:rsidRDefault="007D4365"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86314E" w:rsidTr="00A700AC">
        <w:tc>
          <w:tcPr>
            <w:tcW w:w="9344" w:type="dxa"/>
          </w:tcPr>
          <w:p w:rsidR="005F5F84" w:rsidRPr="00332A31" w:rsidRDefault="00CA3AB5" w:rsidP="0086314E">
            <w:pPr>
              <w:ind w:firstLine="709"/>
              <w:jc w:val="both"/>
              <w:rPr>
                <w:rFonts w:ascii="Times New Roman" w:hAnsi="Times New Roman" w:cs="Times New Roman"/>
                <w:sz w:val="24"/>
                <w:szCs w:val="24"/>
                <w:lang w:val="uk-UA"/>
              </w:rPr>
            </w:pPr>
            <w:r w:rsidRPr="00332A31">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r w:rsidR="0086314E" w:rsidRPr="0086314E">
              <w:rPr>
                <w:rFonts w:ascii="Times New Roman" w:hAnsi="Times New Roman" w:cs="Times New Roman"/>
                <w:sz w:val="28"/>
                <w:szCs w:val="28"/>
                <w:lang w:val="uk-UA"/>
              </w:rPr>
              <w:t>Заходи та роботи з територіальної оборони</w:t>
            </w:r>
            <w:r w:rsidRPr="00332A31">
              <w:rPr>
                <w:rFonts w:ascii="Times New Roman" w:eastAsia="Calibri" w:hAnsi="Times New Roman" w:cs="Times New Roman"/>
                <w:sz w:val="28"/>
                <w:szCs w:val="28"/>
                <w:lang w:val="uk-UA"/>
              </w:rPr>
              <w:t xml:space="preserve">» отримано кінцевий показник ефективності бюджетної програми, який становить </w:t>
            </w:r>
            <w:r w:rsidR="00332A31" w:rsidRPr="00332A31">
              <w:rPr>
                <w:rFonts w:ascii="Times New Roman" w:eastAsia="Calibri" w:hAnsi="Times New Roman" w:cs="Times New Roman"/>
                <w:sz w:val="28"/>
                <w:szCs w:val="28"/>
                <w:lang w:val="uk-UA"/>
              </w:rPr>
              <w:t>2</w:t>
            </w:r>
            <w:r w:rsidR="0086314E">
              <w:rPr>
                <w:rFonts w:ascii="Times New Roman" w:eastAsia="Calibri" w:hAnsi="Times New Roman" w:cs="Times New Roman"/>
                <w:sz w:val="28"/>
                <w:szCs w:val="28"/>
                <w:lang w:val="uk-UA"/>
              </w:rPr>
              <w:t>25,1</w:t>
            </w:r>
            <w:r w:rsidRPr="00332A31">
              <w:rPr>
                <w:rFonts w:ascii="Times New Roman" w:eastAsia="Calibri" w:hAnsi="Times New Roman" w:cs="Times New Roman"/>
                <w:sz w:val="28"/>
                <w:szCs w:val="28"/>
                <w:lang w:val="uk-UA"/>
              </w:rPr>
              <w:t xml:space="preserve"> бал</w:t>
            </w:r>
            <w:r w:rsidR="00CD3D91" w:rsidRPr="00332A31">
              <w:rPr>
                <w:rFonts w:ascii="Times New Roman" w:eastAsia="Calibri" w:hAnsi="Times New Roman" w:cs="Times New Roman"/>
                <w:sz w:val="28"/>
                <w:szCs w:val="28"/>
                <w:lang w:val="uk-UA"/>
              </w:rPr>
              <w:t>ів.</w:t>
            </w:r>
            <w:r w:rsidRPr="00332A31">
              <w:rPr>
                <w:rFonts w:ascii="Times New Roman" w:eastAsia="Calibri" w:hAnsi="Times New Roman" w:cs="Times New Roman"/>
                <w:sz w:val="28"/>
                <w:szCs w:val="28"/>
                <w:lang w:val="uk-UA"/>
              </w:rPr>
              <w:t xml:space="preserve"> </w:t>
            </w:r>
            <w:r w:rsidR="00332A31" w:rsidRPr="00332A31">
              <w:rPr>
                <w:rFonts w:ascii="Times New Roman" w:eastAsia="Calibri" w:hAnsi="Times New Roman" w:cs="Times New Roman"/>
                <w:sz w:val="28"/>
                <w:szCs w:val="28"/>
                <w:lang w:val="uk-UA"/>
              </w:rPr>
              <w:t>Так як результативні показники ефективності та якості бюджетної програми почали діяти з 202</w:t>
            </w:r>
            <w:r w:rsidR="00332A31">
              <w:rPr>
                <w:rFonts w:ascii="Times New Roman" w:eastAsia="Calibri" w:hAnsi="Times New Roman" w:cs="Times New Roman"/>
                <w:sz w:val="28"/>
                <w:szCs w:val="28"/>
                <w:lang w:val="uk-UA"/>
              </w:rPr>
              <w:t>2</w:t>
            </w:r>
            <w:r w:rsidR="00332A31" w:rsidRPr="00332A31">
              <w:rPr>
                <w:rFonts w:ascii="Times New Roman" w:eastAsia="Calibri" w:hAnsi="Times New Roman" w:cs="Times New Roman"/>
                <w:sz w:val="28"/>
                <w:szCs w:val="28"/>
                <w:lang w:val="uk-UA"/>
              </w:rPr>
              <w:t xml:space="preserve"> року та не містить показників ефективності та якості за попередній бюджетний період, то відповідно шкала оцінки ефективності бюджетної програми  коригується на 100 балів, а відповідно  бюджетна програма «</w:t>
            </w:r>
            <w:r w:rsidR="0086314E" w:rsidRPr="0086314E">
              <w:rPr>
                <w:rFonts w:ascii="Times New Roman" w:hAnsi="Times New Roman" w:cs="Times New Roman"/>
                <w:sz w:val="28"/>
                <w:szCs w:val="28"/>
                <w:lang w:val="uk-UA"/>
              </w:rPr>
              <w:t>Заходи та роботи з територіальної оборони</w:t>
            </w:r>
            <w:r w:rsidR="00332A31" w:rsidRPr="00332A31">
              <w:rPr>
                <w:rFonts w:ascii="Times New Roman" w:eastAsia="Calibri" w:hAnsi="Times New Roman" w:cs="Times New Roman"/>
                <w:sz w:val="28"/>
                <w:szCs w:val="28"/>
                <w:lang w:val="uk-UA"/>
              </w:rPr>
              <w:t xml:space="preserve">» має </w:t>
            </w:r>
            <w:r w:rsidR="0086314E">
              <w:rPr>
                <w:rFonts w:ascii="Times New Roman" w:eastAsia="Calibri" w:hAnsi="Times New Roman" w:cs="Times New Roman"/>
                <w:sz w:val="28"/>
                <w:szCs w:val="28"/>
                <w:lang w:val="uk-UA"/>
              </w:rPr>
              <w:t xml:space="preserve">високу </w:t>
            </w:r>
            <w:r w:rsidR="00332A31" w:rsidRPr="00332A31">
              <w:rPr>
                <w:rFonts w:ascii="Times New Roman" w:eastAsia="Calibri" w:hAnsi="Times New Roman" w:cs="Times New Roman"/>
                <w:sz w:val="28"/>
                <w:szCs w:val="28"/>
                <w:lang w:val="uk-UA"/>
              </w:rPr>
              <w:t xml:space="preserve">ефективність (скориговане значення шкали оцінки ефективності бюджетної програми </w:t>
            </w:r>
            <w:r w:rsidR="00332A31">
              <w:rPr>
                <w:rFonts w:ascii="Times New Roman" w:eastAsia="Calibri" w:hAnsi="Times New Roman" w:cs="Times New Roman"/>
                <w:sz w:val="28"/>
                <w:szCs w:val="28"/>
                <w:lang w:val="uk-UA"/>
              </w:rPr>
              <w:t>115</w:t>
            </w:r>
            <w:r w:rsidR="0086314E">
              <w:rPr>
                <w:rFonts w:ascii="Times New Roman" w:eastAsia="Calibri" w:hAnsi="Times New Roman" w:cs="Times New Roman"/>
                <w:sz w:val="28"/>
                <w:szCs w:val="28"/>
                <w:lang w:val="uk-UA"/>
              </w:rPr>
              <w:t xml:space="preserve"> і більше балів</w:t>
            </w:r>
            <w:r w:rsidR="00332A31">
              <w:rPr>
                <w:rFonts w:ascii="Times New Roman" w:eastAsia="Calibri" w:hAnsi="Times New Roman" w:cs="Times New Roman"/>
                <w:sz w:val="28"/>
                <w:szCs w:val="28"/>
                <w:lang w:val="uk-UA"/>
              </w:rPr>
              <w:t xml:space="preserve"> </w:t>
            </w:r>
            <w:r w:rsidR="00332A31" w:rsidRPr="00332A31">
              <w:rPr>
                <w:rFonts w:ascii="Times New Roman" w:eastAsia="Calibri" w:hAnsi="Times New Roman" w:cs="Times New Roman"/>
                <w:sz w:val="28"/>
                <w:szCs w:val="28"/>
                <w:lang w:val="uk-UA"/>
              </w:rPr>
              <w:t xml:space="preserve">– </w:t>
            </w:r>
            <w:r w:rsidR="0086314E">
              <w:rPr>
                <w:rFonts w:ascii="Times New Roman" w:eastAsia="Calibri" w:hAnsi="Times New Roman" w:cs="Times New Roman"/>
                <w:sz w:val="28"/>
                <w:szCs w:val="28"/>
                <w:lang w:val="uk-UA"/>
              </w:rPr>
              <w:t>висока</w:t>
            </w:r>
            <w:r w:rsidR="00332A31">
              <w:rPr>
                <w:rFonts w:ascii="Times New Roman" w:eastAsia="Calibri" w:hAnsi="Times New Roman" w:cs="Times New Roman"/>
                <w:sz w:val="28"/>
                <w:szCs w:val="28"/>
                <w:lang w:val="uk-UA"/>
              </w:rPr>
              <w:t xml:space="preserve"> </w:t>
            </w:r>
            <w:r w:rsidR="00332A31" w:rsidRPr="00332A31">
              <w:rPr>
                <w:rFonts w:ascii="Times New Roman" w:eastAsia="Calibri" w:hAnsi="Times New Roman" w:cs="Times New Roman"/>
                <w:sz w:val="28"/>
                <w:szCs w:val="28"/>
                <w:lang w:val="uk-UA"/>
              </w:rPr>
              <w:t>ефективність).</w:t>
            </w:r>
            <w:r w:rsidRPr="00332A31">
              <w:rPr>
                <w:rFonts w:ascii="Times New Roman" w:eastAsia="Calibri" w:hAnsi="Times New Roman" w:cs="Times New Roman"/>
                <w:sz w:val="28"/>
                <w:szCs w:val="28"/>
                <w:lang w:val="uk-UA"/>
              </w:rPr>
              <w:t xml:space="preserve"> </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E64181" w:rsidRDefault="0067009E" w:rsidP="002D48EB">
            <w:pPr>
              <w:jc w:val="center"/>
              <w:rPr>
                <w:rFonts w:ascii="Times New Roman" w:hAnsi="Times New Roman" w:cs="Times New Roman"/>
                <w:sz w:val="28"/>
                <w:szCs w:val="28"/>
                <w:lang w:val="uk-UA"/>
              </w:rPr>
            </w:pPr>
            <w:r w:rsidRPr="00E64181">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E64181" w:rsidRDefault="005C5FA9"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809CA"/>
    <w:rsid w:val="00093218"/>
    <w:rsid w:val="000947D1"/>
    <w:rsid w:val="000A14B6"/>
    <w:rsid w:val="000A6CDF"/>
    <w:rsid w:val="000C47C0"/>
    <w:rsid w:val="000E0853"/>
    <w:rsid w:val="000F20F3"/>
    <w:rsid w:val="000F31FF"/>
    <w:rsid w:val="0010167E"/>
    <w:rsid w:val="001177EC"/>
    <w:rsid w:val="001240B7"/>
    <w:rsid w:val="00132429"/>
    <w:rsid w:val="0013505E"/>
    <w:rsid w:val="00136735"/>
    <w:rsid w:val="001665D4"/>
    <w:rsid w:val="001C53FA"/>
    <w:rsid w:val="001D2D1C"/>
    <w:rsid w:val="002439D1"/>
    <w:rsid w:val="002543C2"/>
    <w:rsid w:val="002672DB"/>
    <w:rsid w:val="0027648D"/>
    <w:rsid w:val="00281F79"/>
    <w:rsid w:val="002979E1"/>
    <w:rsid w:val="002B2F62"/>
    <w:rsid w:val="002B5DE3"/>
    <w:rsid w:val="002D48EB"/>
    <w:rsid w:val="002D4CD1"/>
    <w:rsid w:val="003029CB"/>
    <w:rsid w:val="003100C2"/>
    <w:rsid w:val="003105A6"/>
    <w:rsid w:val="0032673C"/>
    <w:rsid w:val="00332A31"/>
    <w:rsid w:val="00336808"/>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22825"/>
    <w:rsid w:val="00444125"/>
    <w:rsid w:val="00461543"/>
    <w:rsid w:val="00463F54"/>
    <w:rsid w:val="00472CF7"/>
    <w:rsid w:val="004858B2"/>
    <w:rsid w:val="0049778C"/>
    <w:rsid w:val="004B107A"/>
    <w:rsid w:val="004B2347"/>
    <w:rsid w:val="004D7DF9"/>
    <w:rsid w:val="004E621A"/>
    <w:rsid w:val="004F64B6"/>
    <w:rsid w:val="005253B8"/>
    <w:rsid w:val="00534673"/>
    <w:rsid w:val="00546B49"/>
    <w:rsid w:val="00547C22"/>
    <w:rsid w:val="00591767"/>
    <w:rsid w:val="00593B7B"/>
    <w:rsid w:val="005B01E4"/>
    <w:rsid w:val="005C09F0"/>
    <w:rsid w:val="005C5FA9"/>
    <w:rsid w:val="005D563D"/>
    <w:rsid w:val="005E316B"/>
    <w:rsid w:val="005F5F84"/>
    <w:rsid w:val="0060549C"/>
    <w:rsid w:val="00616B48"/>
    <w:rsid w:val="00617E24"/>
    <w:rsid w:val="0064269F"/>
    <w:rsid w:val="00652226"/>
    <w:rsid w:val="00665120"/>
    <w:rsid w:val="0067009E"/>
    <w:rsid w:val="00673CBE"/>
    <w:rsid w:val="00676759"/>
    <w:rsid w:val="00682111"/>
    <w:rsid w:val="00684AEB"/>
    <w:rsid w:val="006A187C"/>
    <w:rsid w:val="006A34F1"/>
    <w:rsid w:val="006B50B1"/>
    <w:rsid w:val="006B71C9"/>
    <w:rsid w:val="006C3D59"/>
    <w:rsid w:val="006D3FC4"/>
    <w:rsid w:val="006E0418"/>
    <w:rsid w:val="006E099F"/>
    <w:rsid w:val="006E4D60"/>
    <w:rsid w:val="006F0DCD"/>
    <w:rsid w:val="0071011E"/>
    <w:rsid w:val="00712AB0"/>
    <w:rsid w:val="00713339"/>
    <w:rsid w:val="007205F6"/>
    <w:rsid w:val="007206B8"/>
    <w:rsid w:val="0072371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6314E"/>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642F3"/>
    <w:rsid w:val="009665FB"/>
    <w:rsid w:val="009717EE"/>
    <w:rsid w:val="0097283C"/>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403C4"/>
    <w:rsid w:val="00B5087E"/>
    <w:rsid w:val="00B6326E"/>
    <w:rsid w:val="00B728F2"/>
    <w:rsid w:val="00B73DE3"/>
    <w:rsid w:val="00B76627"/>
    <w:rsid w:val="00B87399"/>
    <w:rsid w:val="00B91EA9"/>
    <w:rsid w:val="00B94ED5"/>
    <w:rsid w:val="00BB79C8"/>
    <w:rsid w:val="00BD5E36"/>
    <w:rsid w:val="00BE12FF"/>
    <w:rsid w:val="00C50507"/>
    <w:rsid w:val="00C65066"/>
    <w:rsid w:val="00C74B6B"/>
    <w:rsid w:val="00C84195"/>
    <w:rsid w:val="00C844D4"/>
    <w:rsid w:val="00C86F55"/>
    <w:rsid w:val="00C87856"/>
    <w:rsid w:val="00C94271"/>
    <w:rsid w:val="00C97110"/>
    <w:rsid w:val="00CA3AB5"/>
    <w:rsid w:val="00CC58E9"/>
    <w:rsid w:val="00CD3D91"/>
    <w:rsid w:val="00CD570D"/>
    <w:rsid w:val="00CD6BDA"/>
    <w:rsid w:val="00CE166A"/>
    <w:rsid w:val="00D00943"/>
    <w:rsid w:val="00D15EAA"/>
    <w:rsid w:val="00D276DE"/>
    <w:rsid w:val="00D42262"/>
    <w:rsid w:val="00D56B9F"/>
    <w:rsid w:val="00D76E1C"/>
    <w:rsid w:val="00D77018"/>
    <w:rsid w:val="00D90DC3"/>
    <w:rsid w:val="00DA3B25"/>
    <w:rsid w:val="00DA3C73"/>
    <w:rsid w:val="00DD1EC2"/>
    <w:rsid w:val="00DE627F"/>
    <w:rsid w:val="00DE714B"/>
    <w:rsid w:val="00DF14E3"/>
    <w:rsid w:val="00E04240"/>
    <w:rsid w:val="00E15FD8"/>
    <w:rsid w:val="00E1671E"/>
    <w:rsid w:val="00E56A36"/>
    <w:rsid w:val="00E64181"/>
    <w:rsid w:val="00E672B9"/>
    <w:rsid w:val="00E70D0A"/>
    <w:rsid w:val="00EA6803"/>
    <w:rsid w:val="00EB21A8"/>
    <w:rsid w:val="00EB3E0D"/>
    <w:rsid w:val="00EC07E6"/>
    <w:rsid w:val="00EC3DE7"/>
    <w:rsid w:val="00ED78B1"/>
    <w:rsid w:val="00F346E5"/>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7E22-C1FF-4D19-8A94-4804107F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222</cp:revision>
  <dcterms:created xsi:type="dcterms:W3CDTF">2022-02-09T14:16:00Z</dcterms:created>
  <dcterms:modified xsi:type="dcterms:W3CDTF">2023-02-13T07:55:00Z</dcterms:modified>
</cp:coreProperties>
</file>