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3A69" w14:textId="77777777" w:rsidR="00076C74" w:rsidRPr="000900BC" w:rsidRDefault="00076C74" w:rsidP="00076C74">
      <w:pPr>
        <w:pBdr>
          <w:top w:val="nil"/>
          <w:left w:val="nil"/>
          <w:bottom w:val="nil"/>
          <w:right w:val="nil"/>
          <w:between w:val="nil"/>
        </w:pBdr>
        <w:spacing w:line="240" w:lineRule="auto"/>
        <w:ind w:left="0" w:hanging="3"/>
        <w:jc w:val="right"/>
        <w:rPr>
          <w:color w:val="000000" w:themeColor="text1"/>
          <w:sz w:val="28"/>
          <w:szCs w:val="28"/>
          <w:lang w:val="uk-UA"/>
        </w:rPr>
      </w:pPr>
      <w:r w:rsidRPr="000900BC">
        <w:rPr>
          <w:color w:val="000000" w:themeColor="text1"/>
          <w:sz w:val="28"/>
          <w:szCs w:val="28"/>
          <w:lang w:val="uk-UA"/>
        </w:rPr>
        <w:t>ЗАТВЕРДЖЕНО</w:t>
      </w:r>
    </w:p>
    <w:p w14:paraId="1C7AA943" w14:textId="77777777" w:rsidR="00076C74" w:rsidRPr="000900BC" w:rsidRDefault="00076C74" w:rsidP="00076C74">
      <w:pPr>
        <w:pBdr>
          <w:top w:val="nil"/>
          <w:left w:val="nil"/>
          <w:bottom w:val="nil"/>
          <w:right w:val="nil"/>
          <w:between w:val="nil"/>
        </w:pBdr>
        <w:spacing w:line="240" w:lineRule="auto"/>
        <w:ind w:left="0" w:hanging="3"/>
        <w:jc w:val="right"/>
        <w:rPr>
          <w:color w:val="000000" w:themeColor="text1"/>
          <w:sz w:val="28"/>
          <w:szCs w:val="28"/>
          <w:lang w:val="uk-UA"/>
        </w:rPr>
      </w:pPr>
      <w:r>
        <w:rPr>
          <w:color w:val="000000" w:themeColor="text1"/>
          <w:sz w:val="28"/>
          <w:szCs w:val="28"/>
          <w:lang w:val="uk-UA"/>
        </w:rPr>
        <w:t>р</w:t>
      </w:r>
      <w:r w:rsidRPr="000900BC">
        <w:rPr>
          <w:color w:val="000000" w:themeColor="text1"/>
          <w:sz w:val="28"/>
          <w:szCs w:val="28"/>
          <w:lang w:val="uk-UA"/>
        </w:rPr>
        <w:t>ішення виконавчого комітету</w:t>
      </w:r>
    </w:p>
    <w:p w14:paraId="28BC1E06" w14:textId="77777777" w:rsidR="00076C74" w:rsidRPr="000900BC" w:rsidRDefault="00076C74" w:rsidP="00076C74">
      <w:pPr>
        <w:pBdr>
          <w:top w:val="nil"/>
          <w:left w:val="nil"/>
          <w:bottom w:val="nil"/>
          <w:right w:val="nil"/>
          <w:between w:val="nil"/>
        </w:pBdr>
        <w:spacing w:line="240" w:lineRule="auto"/>
        <w:ind w:left="0" w:hanging="3"/>
        <w:jc w:val="right"/>
        <w:rPr>
          <w:color w:val="000000" w:themeColor="text1"/>
          <w:sz w:val="28"/>
          <w:szCs w:val="28"/>
          <w:lang w:val="uk-UA"/>
        </w:rPr>
      </w:pPr>
      <w:r w:rsidRPr="000900BC">
        <w:rPr>
          <w:color w:val="000000" w:themeColor="text1"/>
          <w:sz w:val="28"/>
          <w:szCs w:val="28"/>
          <w:lang w:val="uk-UA"/>
        </w:rPr>
        <w:t xml:space="preserve"> Степанківської сільської ради</w:t>
      </w:r>
    </w:p>
    <w:p w14:paraId="53D885E0" w14:textId="77777777" w:rsidR="00076C74" w:rsidRPr="000900BC" w:rsidRDefault="00076C74" w:rsidP="00076C74">
      <w:pPr>
        <w:pBdr>
          <w:top w:val="nil"/>
          <w:left w:val="nil"/>
          <w:bottom w:val="nil"/>
          <w:right w:val="nil"/>
          <w:between w:val="nil"/>
        </w:pBdr>
        <w:spacing w:line="240" w:lineRule="auto"/>
        <w:ind w:left="0" w:hanging="3"/>
        <w:jc w:val="right"/>
        <w:rPr>
          <w:color w:val="000000" w:themeColor="text1"/>
          <w:sz w:val="28"/>
          <w:szCs w:val="28"/>
          <w:lang w:val="uk-UA"/>
        </w:rPr>
      </w:pPr>
      <w:r w:rsidRPr="000900BC">
        <w:rPr>
          <w:color w:val="000000" w:themeColor="text1"/>
          <w:sz w:val="28"/>
          <w:szCs w:val="28"/>
          <w:lang w:val="uk-UA"/>
        </w:rPr>
        <w:t>від 28.10.2022 року №137</w:t>
      </w:r>
    </w:p>
    <w:p w14:paraId="3494B6F8"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483C24B4"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4658FAB6"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5E96F27B"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5FE134C5"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5DB24C78"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1C2C8ECF"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746F4E4C"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6D1BB52A"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5B01FA53"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75ED3BE8"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292039DB" w14:textId="77777777" w:rsidR="00076C74" w:rsidRPr="000900BC" w:rsidRDefault="00076C74" w:rsidP="00076C74">
      <w:pPr>
        <w:pBdr>
          <w:top w:val="nil"/>
          <w:left w:val="nil"/>
          <w:bottom w:val="nil"/>
          <w:right w:val="nil"/>
          <w:between w:val="nil"/>
        </w:pBdr>
        <w:spacing w:line="240" w:lineRule="auto"/>
        <w:ind w:left="0" w:hanging="3"/>
        <w:jc w:val="right"/>
        <w:rPr>
          <w:b/>
          <w:color w:val="000000" w:themeColor="text1"/>
          <w:sz w:val="28"/>
          <w:szCs w:val="28"/>
          <w:lang w:val="uk-UA"/>
        </w:rPr>
      </w:pPr>
    </w:p>
    <w:p w14:paraId="545842BA" w14:textId="77777777" w:rsidR="00076C74" w:rsidRPr="000900BC" w:rsidRDefault="00076C74" w:rsidP="00076C74">
      <w:pPr>
        <w:pBdr>
          <w:top w:val="nil"/>
          <w:left w:val="nil"/>
          <w:bottom w:val="nil"/>
          <w:right w:val="nil"/>
          <w:between w:val="nil"/>
        </w:pBdr>
        <w:spacing w:line="240" w:lineRule="auto"/>
        <w:ind w:left="0" w:hanging="3"/>
        <w:jc w:val="center"/>
        <w:rPr>
          <w:b/>
          <w:color w:val="000000" w:themeColor="text1"/>
          <w:sz w:val="28"/>
          <w:szCs w:val="28"/>
          <w:lang w:val="uk-UA"/>
        </w:rPr>
      </w:pPr>
      <w:r w:rsidRPr="000900BC">
        <w:rPr>
          <w:b/>
          <w:color w:val="000000" w:themeColor="text1"/>
          <w:sz w:val="28"/>
          <w:szCs w:val="28"/>
          <w:lang w:val="uk-UA"/>
        </w:rPr>
        <w:t>ПРОГРАМА</w:t>
      </w:r>
    </w:p>
    <w:p w14:paraId="5904ADF0" w14:textId="77777777" w:rsidR="00076C74" w:rsidRPr="000900BC" w:rsidRDefault="00076C74" w:rsidP="00076C74">
      <w:pPr>
        <w:pBdr>
          <w:top w:val="nil"/>
          <w:left w:val="nil"/>
          <w:bottom w:val="nil"/>
          <w:right w:val="nil"/>
          <w:between w:val="nil"/>
        </w:pBdr>
        <w:spacing w:line="276" w:lineRule="auto"/>
        <w:ind w:left="0" w:hanging="3"/>
        <w:jc w:val="center"/>
        <w:rPr>
          <w:b/>
          <w:color w:val="000000" w:themeColor="text1"/>
          <w:sz w:val="28"/>
          <w:szCs w:val="28"/>
          <w:lang w:val="uk-UA"/>
        </w:rPr>
      </w:pPr>
      <w:r>
        <w:rPr>
          <w:b/>
          <w:color w:val="000000" w:themeColor="text1"/>
          <w:sz w:val="28"/>
          <w:szCs w:val="28"/>
          <w:lang w:val="uk-UA"/>
        </w:rPr>
        <w:t>«БЛАГОУСТРІЙ</w:t>
      </w:r>
      <w:r w:rsidRPr="000900BC">
        <w:rPr>
          <w:b/>
          <w:color w:val="000000" w:themeColor="text1"/>
          <w:sz w:val="28"/>
          <w:szCs w:val="28"/>
          <w:lang w:val="uk-UA"/>
        </w:rPr>
        <w:t>» на 2023 рік</w:t>
      </w:r>
    </w:p>
    <w:p w14:paraId="2391BE42" w14:textId="77777777" w:rsidR="00076C74" w:rsidRPr="000900BC" w:rsidRDefault="00076C74" w:rsidP="00076C74">
      <w:pPr>
        <w:pBdr>
          <w:top w:val="nil"/>
          <w:left w:val="nil"/>
          <w:bottom w:val="nil"/>
          <w:right w:val="nil"/>
          <w:between w:val="nil"/>
        </w:pBdr>
        <w:spacing w:line="240" w:lineRule="auto"/>
        <w:ind w:left="0" w:hanging="3"/>
        <w:jc w:val="center"/>
        <w:rPr>
          <w:b/>
          <w:color w:val="000000" w:themeColor="text1"/>
          <w:sz w:val="28"/>
          <w:szCs w:val="28"/>
          <w:lang w:val="uk-UA"/>
        </w:rPr>
      </w:pPr>
    </w:p>
    <w:p w14:paraId="293CBD4C" w14:textId="77777777" w:rsidR="00076C74" w:rsidRPr="000900BC" w:rsidRDefault="00076C74" w:rsidP="00076C74">
      <w:pPr>
        <w:pBdr>
          <w:top w:val="nil"/>
          <w:left w:val="nil"/>
          <w:bottom w:val="nil"/>
          <w:right w:val="nil"/>
          <w:between w:val="nil"/>
        </w:pBdr>
        <w:spacing w:line="240" w:lineRule="auto"/>
        <w:ind w:hanging="2"/>
        <w:jc w:val="center"/>
        <w:rPr>
          <w:color w:val="000000" w:themeColor="text1"/>
          <w:sz w:val="22"/>
          <w:szCs w:val="22"/>
          <w:lang w:val="uk-UA"/>
        </w:rPr>
      </w:pPr>
    </w:p>
    <w:p w14:paraId="1A36E5DA"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471C9C7C"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2FAC150B"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77B01239"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 xml:space="preserve">    </w:t>
      </w:r>
    </w:p>
    <w:p w14:paraId="38B7FCA2"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0563AA4C"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5B88D81C"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2BD79459"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0862DC93"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53B49665"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51FA73DC"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103BB097"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5CF25962"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585BFE36"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5C342FE3"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591E023D"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6F48B1C7"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52D91468"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6CF0B005"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689DB2A4"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04DB1D1E"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64F8ABB6"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32E05E94" w14:textId="77777777" w:rsidR="00076C74" w:rsidRPr="000900BC" w:rsidRDefault="00076C74" w:rsidP="00076C74">
      <w:pPr>
        <w:pBdr>
          <w:top w:val="nil"/>
          <w:left w:val="nil"/>
          <w:bottom w:val="nil"/>
          <w:right w:val="nil"/>
          <w:between w:val="nil"/>
        </w:pBdr>
        <w:spacing w:line="240" w:lineRule="auto"/>
        <w:ind w:left="0" w:hanging="3"/>
        <w:jc w:val="center"/>
        <w:rPr>
          <w:color w:val="000000" w:themeColor="text1"/>
          <w:sz w:val="28"/>
          <w:szCs w:val="28"/>
          <w:lang w:val="uk-UA"/>
        </w:rPr>
      </w:pPr>
      <w:r w:rsidRPr="000900BC">
        <w:rPr>
          <w:color w:val="000000" w:themeColor="text1"/>
          <w:sz w:val="28"/>
          <w:szCs w:val="28"/>
          <w:lang w:val="uk-UA"/>
        </w:rPr>
        <w:t>с. Степанки</w:t>
      </w:r>
    </w:p>
    <w:p w14:paraId="64991819" w14:textId="77777777" w:rsidR="00076C74" w:rsidRPr="000900BC" w:rsidRDefault="00076C74" w:rsidP="00076C74">
      <w:pPr>
        <w:pBdr>
          <w:top w:val="nil"/>
          <w:left w:val="nil"/>
          <w:bottom w:val="nil"/>
          <w:right w:val="nil"/>
          <w:between w:val="nil"/>
        </w:pBdr>
        <w:spacing w:line="240" w:lineRule="auto"/>
        <w:ind w:left="0" w:hanging="3"/>
        <w:jc w:val="center"/>
        <w:rPr>
          <w:color w:val="000000" w:themeColor="text1"/>
          <w:sz w:val="28"/>
          <w:szCs w:val="28"/>
          <w:lang w:val="uk-UA"/>
        </w:rPr>
      </w:pPr>
      <w:r w:rsidRPr="000900BC">
        <w:rPr>
          <w:color w:val="000000" w:themeColor="text1"/>
          <w:sz w:val="28"/>
          <w:szCs w:val="28"/>
          <w:lang w:val="uk-UA"/>
        </w:rPr>
        <w:t>2022 рік</w:t>
      </w:r>
    </w:p>
    <w:p w14:paraId="603E6A18" w14:textId="77777777" w:rsidR="00076C74" w:rsidRPr="000900BC" w:rsidRDefault="00076C74" w:rsidP="00076C74">
      <w:pPr>
        <w:pBdr>
          <w:top w:val="nil"/>
          <w:left w:val="nil"/>
          <w:bottom w:val="nil"/>
          <w:right w:val="nil"/>
          <w:between w:val="nil"/>
        </w:pBdr>
        <w:spacing w:line="240" w:lineRule="auto"/>
        <w:ind w:left="0" w:hanging="3"/>
        <w:jc w:val="center"/>
        <w:rPr>
          <w:color w:val="000000" w:themeColor="text1"/>
          <w:sz w:val="28"/>
          <w:szCs w:val="28"/>
          <w:lang w:val="uk-UA"/>
        </w:rPr>
      </w:pPr>
    </w:p>
    <w:p w14:paraId="557913F4" w14:textId="77777777" w:rsidR="00076C74" w:rsidRPr="000900BC" w:rsidRDefault="00076C74" w:rsidP="00076C74">
      <w:pPr>
        <w:pBdr>
          <w:top w:val="nil"/>
          <w:left w:val="nil"/>
          <w:bottom w:val="nil"/>
          <w:right w:val="nil"/>
          <w:between w:val="nil"/>
        </w:pBdr>
        <w:spacing w:line="240" w:lineRule="auto"/>
        <w:ind w:left="0" w:hanging="3"/>
        <w:jc w:val="center"/>
        <w:rPr>
          <w:color w:val="000000" w:themeColor="text1"/>
          <w:sz w:val="28"/>
          <w:szCs w:val="28"/>
          <w:lang w:val="uk-UA"/>
        </w:rPr>
      </w:pPr>
      <w:r w:rsidRPr="000900BC">
        <w:rPr>
          <w:color w:val="000000" w:themeColor="text1"/>
          <w:sz w:val="28"/>
          <w:szCs w:val="28"/>
          <w:lang w:val="uk-UA"/>
        </w:rPr>
        <w:lastRenderedPageBreak/>
        <w:t>ЗМІСТ</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1"/>
        <w:gridCol w:w="1070"/>
      </w:tblGrid>
      <w:tr w:rsidR="00076C74" w:rsidRPr="000900BC" w14:paraId="2C5DFF5B" w14:textId="77777777" w:rsidTr="00484878">
        <w:trPr>
          <w:trHeight w:val="291"/>
        </w:trPr>
        <w:tc>
          <w:tcPr>
            <w:tcW w:w="8501" w:type="dxa"/>
          </w:tcPr>
          <w:p w14:paraId="20FF4D70" w14:textId="77777777" w:rsidR="00076C74" w:rsidRPr="000900BC" w:rsidRDefault="00076C74" w:rsidP="00484878">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xml:space="preserve">Паспорт Програми                                                                                                 </w:t>
            </w:r>
          </w:p>
        </w:tc>
        <w:tc>
          <w:tcPr>
            <w:tcW w:w="1070" w:type="dxa"/>
          </w:tcPr>
          <w:p w14:paraId="7D4A7456" w14:textId="77777777" w:rsidR="00076C74" w:rsidRPr="000900BC" w:rsidRDefault="00076C74" w:rsidP="00484878">
            <w:pPr>
              <w:pBdr>
                <w:top w:val="nil"/>
                <w:left w:val="nil"/>
                <w:bottom w:val="nil"/>
                <w:right w:val="nil"/>
                <w:between w:val="nil"/>
              </w:pBdr>
              <w:spacing w:line="240" w:lineRule="auto"/>
              <w:ind w:left="0" w:hanging="3"/>
              <w:jc w:val="center"/>
              <w:rPr>
                <w:color w:val="000000" w:themeColor="text1"/>
                <w:sz w:val="28"/>
                <w:szCs w:val="28"/>
                <w:lang w:val="uk-UA"/>
              </w:rPr>
            </w:pPr>
            <w:r w:rsidRPr="000900BC">
              <w:rPr>
                <w:color w:val="000000" w:themeColor="text1"/>
                <w:sz w:val="28"/>
                <w:szCs w:val="28"/>
                <w:lang w:val="uk-UA"/>
              </w:rPr>
              <w:t>3</w:t>
            </w:r>
          </w:p>
        </w:tc>
      </w:tr>
      <w:tr w:rsidR="00076C74" w:rsidRPr="000900BC" w14:paraId="2EDF04D2" w14:textId="77777777" w:rsidTr="00484878">
        <w:tc>
          <w:tcPr>
            <w:tcW w:w="8501" w:type="dxa"/>
          </w:tcPr>
          <w:p w14:paraId="2D1A0021"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 xml:space="preserve">Розділ 1.Загальні положення                                                                                </w:t>
            </w:r>
          </w:p>
        </w:tc>
        <w:tc>
          <w:tcPr>
            <w:tcW w:w="1070" w:type="dxa"/>
          </w:tcPr>
          <w:p w14:paraId="5983C30F" w14:textId="77777777" w:rsidR="00076C74" w:rsidRPr="000900BC" w:rsidRDefault="00076C74" w:rsidP="00484878">
            <w:pPr>
              <w:pBdr>
                <w:top w:val="nil"/>
                <w:left w:val="nil"/>
                <w:bottom w:val="nil"/>
                <w:right w:val="nil"/>
                <w:between w:val="nil"/>
              </w:pBdr>
              <w:spacing w:line="240" w:lineRule="auto"/>
              <w:ind w:left="0" w:hanging="3"/>
              <w:jc w:val="center"/>
              <w:rPr>
                <w:color w:val="000000" w:themeColor="text1"/>
                <w:sz w:val="28"/>
                <w:szCs w:val="28"/>
                <w:lang w:val="uk-UA"/>
              </w:rPr>
            </w:pPr>
            <w:r w:rsidRPr="000900BC">
              <w:rPr>
                <w:color w:val="000000" w:themeColor="text1"/>
                <w:sz w:val="28"/>
                <w:szCs w:val="28"/>
                <w:lang w:val="uk-UA"/>
              </w:rPr>
              <w:t>4</w:t>
            </w:r>
          </w:p>
        </w:tc>
      </w:tr>
      <w:tr w:rsidR="00076C74" w:rsidRPr="000900BC" w14:paraId="78ED949A" w14:textId="77777777" w:rsidTr="00484878">
        <w:tc>
          <w:tcPr>
            <w:tcW w:w="8501" w:type="dxa"/>
          </w:tcPr>
          <w:p w14:paraId="3CC8B51F"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 xml:space="preserve">Розділ 2.Мета Програми                                                                                       </w:t>
            </w:r>
          </w:p>
        </w:tc>
        <w:tc>
          <w:tcPr>
            <w:tcW w:w="1070" w:type="dxa"/>
          </w:tcPr>
          <w:p w14:paraId="7AD92F04" w14:textId="77777777" w:rsidR="00076C74" w:rsidRPr="000900BC" w:rsidRDefault="00076C74" w:rsidP="00484878">
            <w:pPr>
              <w:pBdr>
                <w:top w:val="nil"/>
                <w:left w:val="nil"/>
                <w:bottom w:val="nil"/>
                <w:right w:val="nil"/>
                <w:between w:val="nil"/>
              </w:pBdr>
              <w:spacing w:line="240" w:lineRule="auto"/>
              <w:ind w:left="0" w:hanging="3"/>
              <w:jc w:val="center"/>
              <w:rPr>
                <w:color w:val="000000" w:themeColor="text1"/>
                <w:sz w:val="28"/>
                <w:szCs w:val="28"/>
                <w:lang w:val="uk-UA"/>
              </w:rPr>
            </w:pPr>
            <w:r w:rsidRPr="000900BC">
              <w:rPr>
                <w:color w:val="000000" w:themeColor="text1"/>
                <w:sz w:val="28"/>
                <w:szCs w:val="28"/>
                <w:lang w:val="uk-UA"/>
              </w:rPr>
              <w:t>4</w:t>
            </w:r>
          </w:p>
        </w:tc>
      </w:tr>
      <w:tr w:rsidR="00076C74" w:rsidRPr="000900BC" w14:paraId="4A0BFD72" w14:textId="77777777" w:rsidTr="00484878">
        <w:tc>
          <w:tcPr>
            <w:tcW w:w="8501" w:type="dxa"/>
          </w:tcPr>
          <w:p w14:paraId="4D6AC45E"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 xml:space="preserve">Розділ 3.Обгрунтування шляхів і засобів реалізації Програми благоустрою             </w:t>
            </w:r>
          </w:p>
        </w:tc>
        <w:tc>
          <w:tcPr>
            <w:tcW w:w="1070" w:type="dxa"/>
          </w:tcPr>
          <w:p w14:paraId="13FC1DB2" w14:textId="77777777" w:rsidR="00076C74" w:rsidRPr="000900BC" w:rsidRDefault="00076C74" w:rsidP="00484878">
            <w:pPr>
              <w:pBdr>
                <w:top w:val="nil"/>
                <w:left w:val="nil"/>
                <w:bottom w:val="nil"/>
                <w:right w:val="nil"/>
                <w:between w:val="nil"/>
              </w:pBdr>
              <w:spacing w:line="240" w:lineRule="auto"/>
              <w:ind w:left="0" w:hanging="3"/>
              <w:jc w:val="center"/>
              <w:rPr>
                <w:color w:val="000000" w:themeColor="text1"/>
                <w:sz w:val="28"/>
                <w:szCs w:val="28"/>
                <w:lang w:val="uk-UA"/>
              </w:rPr>
            </w:pPr>
            <w:r w:rsidRPr="000900BC">
              <w:rPr>
                <w:color w:val="000000" w:themeColor="text1"/>
                <w:sz w:val="28"/>
                <w:szCs w:val="28"/>
                <w:lang w:val="uk-UA"/>
              </w:rPr>
              <w:t>5</w:t>
            </w:r>
          </w:p>
        </w:tc>
      </w:tr>
      <w:tr w:rsidR="00076C74" w:rsidRPr="000900BC" w14:paraId="6D01D040" w14:textId="77777777" w:rsidTr="00484878">
        <w:tc>
          <w:tcPr>
            <w:tcW w:w="8501" w:type="dxa"/>
          </w:tcPr>
          <w:p w14:paraId="4906D8B4"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 xml:space="preserve">Розділ 4.Очікувані результати виконання Програми                                              </w:t>
            </w:r>
          </w:p>
        </w:tc>
        <w:tc>
          <w:tcPr>
            <w:tcW w:w="1070" w:type="dxa"/>
          </w:tcPr>
          <w:p w14:paraId="26B44683" w14:textId="77777777" w:rsidR="00076C74" w:rsidRPr="000900BC" w:rsidRDefault="00076C74" w:rsidP="00484878">
            <w:pPr>
              <w:pBdr>
                <w:top w:val="nil"/>
                <w:left w:val="nil"/>
                <w:bottom w:val="nil"/>
                <w:right w:val="nil"/>
                <w:between w:val="nil"/>
              </w:pBdr>
              <w:spacing w:line="240" w:lineRule="auto"/>
              <w:ind w:left="0" w:hanging="3"/>
              <w:jc w:val="center"/>
              <w:rPr>
                <w:color w:val="000000" w:themeColor="text1"/>
                <w:sz w:val="28"/>
                <w:szCs w:val="28"/>
                <w:lang w:val="uk-UA"/>
              </w:rPr>
            </w:pPr>
            <w:r w:rsidRPr="000900BC">
              <w:rPr>
                <w:color w:val="000000" w:themeColor="text1"/>
                <w:sz w:val="28"/>
                <w:szCs w:val="28"/>
                <w:lang w:val="uk-UA"/>
              </w:rPr>
              <w:t>6</w:t>
            </w:r>
          </w:p>
        </w:tc>
      </w:tr>
      <w:tr w:rsidR="00076C74" w:rsidRPr="000900BC" w14:paraId="2F1B3670" w14:textId="77777777" w:rsidTr="00484878">
        <w:tc>
          <w:tcPr>
            <w:tcW w:w="8501" w:type="dxa"/>
          </w:tcPr>
          <w:p w14:paraId="799F1E15" w14:textId="77777777" w:rsidR="00076C74" w:rsidRPr="000900BC" w:rsidRDefault="00076C74" w:rsidP="00484878">
            <w:pPr>
              <w:pBdr>
                <w:top w:val="nil"/>
                <w:left w:val="nil"/>
                <w:bottom w:val="nil"/>
                <w:right w:val="nil"/>
                <w:between w:val="nil"/>
              </w:pBdr>
              <w:spacing w:line="240" w:lineRule="auto"/>
              <w:ind w:left="0" w:hanging="3"/>
              <w:rPr>
                <w:color w:val="000000" w:themeColor="text1"/>
                <w:lang w:val="uk-UA"/>
              </w:rPr>
            </w:pPr>
            <w:r w:rsidRPr="000900BC">
              <w:rPr>
                <w:color w:val="000000" w:themeColor="text1"/>
                <w:sz w:val="28"/>
                <w:szCs w:val="28"/>
                <w:lang w:val="uk-UA"/>
              </w:rPr>
              <w:t xml:space="preserve">Розділ 5.Джерела фінансування заходів Програми                                           </w:t>
            </w:r>
          </w:p>
        </w:tc>
        <w:tc>
          <w:tcPr>
            <w:tcW w:w="1070" w:type="dxa"/>
          </w:tcPr>
          <w:p w14:paraId="68520F20" w14:textId="77777777" w:rsidR="00076C74" w:rsidRPr="000900BC" w:rsidRDefault="00076C74" w:rsidP="00484878">
            <w:pPr>
              <w:pBdr>
                <w:top w:val="nil"/>
                <w:left w:val="nil"/>
                <w:bottom w:val="nil"/>
                <w:right w:val="nil"/>
                <w:between w:val="nil"/>
              </w:pBdr>
              <w:spacing w:line="240" w:lineRule="auto"/>
              <w:ind w:left="0" w:hanging="3"/>
              <w:jc w:val="center"/>
              <w:rPr>
                <w:color w:val="000000" w:themeColor="text1"/>
                <w:sz w:val="28"/>
                <w:szCs w:val="28"/>
                <w:lang w:val="uk-UA"/>
              </w:rPr>
            </w:pPr>
            <w:r w:rsidRPr="000900BC">
              <w:rPr>
                <w:color w:val="000000" w:themeColor="text1"/>
                <w:sz w:val="28"/>
                <w:szCs w:val="28"/>
                <w:lang w:val="uk-UA"/>
              </w:rPr>
              <w:t>7</w:t>
            </w:r>
          </w:p>
        </w:tc>
      </w:tr>
    </w:tbl>
    <w:p w14:paraId="42042B2C" w14:textId="77777777" w:rsidR="00076C74" w:rsidRPr="000900BC" w:rsidRDefault="00076C74" w:rsidP="00076C74">
      <w:pPr>
        <w:pBdr>
          <w:top w:val="nil"/>
          <w:left w:val="nil"/>
          <w:bottom w:val="nil"/>
          <w:right w:val="nil"/>
          <w:between w:val="nil"/>
        </w:pBdr>
        <w:spacing w:line="240" w:lineRule="auto"/>
        <w:ind w:left="0" w:hanging="3"/>
        <w:jc w:val="center"/>
        <w:rPr>
          <w:color w:val="000000" w:themeColor="text1"/>
          <w:sz w:val="28"/>
          <w:szCs w:val="28"/>
          <w:lang w:val="uk-UA"/>
        </w:rPr>
      </w:pPr>
    </w:p>
    <w:p w14:paraId="34F91193"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p>
    <w:p w14:paraId="5223FF08"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49FBAC73"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571389BF"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239859A7"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26B41969"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663F9E65"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31AC6CF2"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3EDC5B1A"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269FD076"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5C0CF471"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780A6804"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424560E8"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7AA37D11"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6D01FEBE"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0096ABC0"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2F478771"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6623D7B6"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08174869"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00419381"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6EC4678B"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7FC53BBA"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4C913CF0"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7ADBB274"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595A023A"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6D144F19"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3F2B5EBA"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7DDDEE18"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4603F778"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21398E0A"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380AC823"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10ACAA87"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4B16BF47"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42B4F683"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3361D2C3"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4ADF4E24"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73C5A9F8"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011688B5"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588733BC"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55D8A50A"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73404B98"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04A0F3B1"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2DB18F50"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0FD3CAE1"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4B1AD2E9"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5F19FED2" w14:textId="77777777" w:rsidR="00076C74" w:rsidRPr="000900BC" w:rsidRDefault="00076C74" w:rsidP="00076C74">
      <w:pPr>
        <w:pBdr>
          <w:top w:val="nil"/>
          <w:left w:val="nil"/>
          <w:bottom w:val="nil"/>
          <w:right w:val="nil"/>
          <w:between w:val="nil"/>
        </w:pBdr>
        <w:spacing w:line="240" w:lineRule="auto"/>
        <w:ind w:left="0" w:hanging="3"/>
        <w:jc w:val="center"/>
        <w:rPr>
          <w:color w:val="000000" w:themeColor="text1"/>
          <w:lang w:val="uk-UA"/>
        </w:rPr>
      </w:pPr>
      <w:r w:rsidRPr="000900BC">
        <w:rPr>
          <w:b/>
          <w:color w:val="000000" w:themeColor="text1"/>
          <w:lang w:val="uk-UA"/>
        </w:rPr>
        <w:lastRenderedPageBreak/>
        <w:t>ПАСПОРТ  ПРОГРАМИ</w:t>
      </w:r>
    </w:p>
    <w:p w14:paraId="0351B7C0"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969"/>
        <w:gridCol w:w="4785"/>
      </w:tblGrid>
      <w:tr w:rsidR="00076C74" w:rsidRPr="000900BC" w14:paraId="475C46A7" w14:textId="77777777" w:rsidTr="00484878">
        <w:tc>
          <w:tcPr>
            <w:tcW w:w="817" w:type="dxa"/>
          </w:tcPr>
          <w:p w14:paraId="71030515"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1.</w:t>
            </w:r>
          </w:p>
        </w:tc>
        <w:tc>
          <w:tcPr>
            <w:tcW w:w="3969" w:type="dxa"/>
          </w:tcPr>
          <w:p w14:paraId="1BE6E9A6"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Назва Програми</w:t>
            </w:r>
          </w:p>
        </w:tc>
        <w:tc>
          <w:tcPr>
            <w:tcW w:w="4785" w:type="dxa"/>
          </w:tcPr>
          <w:p w14:paraId="049E48D2"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 xml:space="preserve">«Благоустрій» </w:t>
            </w:r>
          </w:p>
        </w:tc>
      </w:tr>
      <w:tr w:rsidR="00076C74" w:rsidRPr="000900BC" w14:paraId="3AF55437" w14:textId="77777777" w:rsidTr="00484878">
        <w:tc>
          <w:tcPr>
            <w:tcW w:w="817" w:type="dxa"/>
          </w:tcPr>
          <w:p w14:paraId="3A0F4E82"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2.</w:t>
            </w:r>
          </w:p>
        </w:tc>
        <w:tc>
          <w:tcPr>
            <w:tcW w:w="3969" w:type="dxa"/>
          </w:tcPr>
          <w:p w14:paraId="7843A2E5"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Ініціатор розроблення Програми</w:t>
            </w:r>
          </w:p>
        </w:tc>
        <w:tc>
          <w:tcPr>
            <w:tcW w:w="4785" w:type="dxa"/>
          </w:tcPr>
          <w:p w14:paraId="55CD2AF1"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Виконавчий комітет Степанківської сільської ради</w:t>
            </w:r>
          </w:p>
        </w:tc>
      </w:tr>
      <w:tr w:rsidR="00076C74" w:rsidRPr="00EA39E1" w14:paraId="1BC780FB" w14:textId="77777777" w:rsidTr="00484878">
        <w:tc>
          <w:tcPr>
            <w:tcW w:w="817" w:type="dxa"/>
          </w:tcPr>
          <w:p w14:paraId="70AC94B3"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3.</w:t>
            </w:r>
          </w:p>
        </w:tc>
        <w:tc>
          <w:tcPr>
            <w:tcW w:w="3969" w:type="dxa"/>
          </w:tcPr>
          <w:p w14:paraId="27D18540"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Розробник Програми</w:t>
            </w:r>
          </w:p>
        </w:tc>
        <w:tc>
          <w:tcPr>
            <w:tcW w:w="4785" w:type="dxa"/>
          </w:tcPr>
          <w:p w14:paraId="2BF1A338" w14:textId="77777777" w:rsidR="00076C74" w:rsidRPr="000900BC" w:rsidRDefault="00076C74" w:rsidP="00484878">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Відділ містобудування, архітектури,  земельних відносин, екологічних питань комунальної власності, цивільного захисту, пожежної безпеки, охорони праці, питань правопорядку, благоустрою, безпеки громадян</w:t>
            </w:r>
          </w:p>
          <w:p w14:paraId="700F734F"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p>
        </w:tc>
      </w:tr>
      <w:tr w:rsidR="00076C74" w:rsidRPr="000900BC" w14:paraId="7BFBBD0E" w14:textId="77777777" w:rsidTr="00484878">
        <w:trPr>
          <w:trHeight w:val="3931"/>
        </w:trPr>
        <w:tc>
          <w:tcPr>
            <w:tcW w:w="817" w:type="dxa"/>
          </w:tcPr>
          <w:p w14:paraId="4FABEA95"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4.</w:t>
            </w:r>
          </w:p>
        </w:tc>
        <w:tc>
          <w:tcPr>
            <w:tcW w:w="3969" w:type="dxa"/>
          </w:tcPr>
          <w:p w14:paraId="11534853"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Нормативно-правова база для розроблення Програми</w:t>
            </w:r>
          </w:p>
        </w:tc>
        <w:tc>
          <w:tcPr>
            <w:tcW w:w="4785" w:type="dxa"/>
          </w:tcPr>
          <w:p w14:paraId="430A44BC" w14:textId="77777777" w:rsidR="00076C74" w:rsidRPr="000900BC" w:rsidRDefault="00076C74" w:rsidP="00484878">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Закону України “Про благоустрій населених пунктів”, наказу Мінекономіки України від 04.12.2006 року № 367 «Про затвердження Методичних рекомендацій щодо порядку розроблення регіональних цільових програм, моніторингу та звітності про їх виконання», до п. 22 ч. 14 ст. 26 Закону України «Про місцеве самоврядування в Україні», Законів України «Про дорожній рух», «Про автомобільні дороги», ДБН В.2.2-40-2018 Інклюзивність будівель і споруд. ДБН В.2.2-40-2018 Інклюзивність будівель і споруд.</w:t>
            </w:r>
          </w:p>
        </w:tc>
      </w:tr>
      <w:tr w:rsidR="00076C74" w:rsidRPr="000900BC" w14:paraId="73C37D08" w14:textId="77777777" w:rsidTr="00484878">
        <w:tc>
          <w:tcPr>
            <w:tcW w:w="817" w:type="dxa"/>
          </w:tcPr>
          <w:p w14:paraId="0390BD59"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5.</w:t>
            </w:r>
          </w:p>
        </w:tc>
        <w:tc>
          <w:tcPr>
            <w:tcW w:w="3969" w:type="dxa"/>
          </w:tcPr>
          <w:p w14:paraId="62BCAB2A"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Термін реалізації Програми</w:t>
            </w:r>
          </w:p>
        </w:tc>
        <w:tc>
          <w:tcPr>
            <w:tcW w:w="4785" w:type="dxa"/>
          </w:tcPr>
          <w:p w14:paraId="7AFF4E0F"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2023 рік</w:t>
            </w:r>
          </w:p>
          <w:p w14:paraId="2F62938E"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p>
        </w:tc>
      </w:tr>
      <w:tr w:rsidR="00076C74" w:rsidRPr="000900BC" w14:paraId="1288349F" w14:textId="77777777" w:rsidTr="00484878">
        <w:tc>
          <w:tcPr>
            <w:tcW w:w="817" w:type="dxa"/>
          </w:tcPr>
          <w:p w14:paraId="2DA0A2EE"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6.</w:t>
            </w:r>
          </w:p>
        </w:tc>
        <w:tc>
          <w:tcPr>
            <w:tcW w:w="3969" w:type="dxa"/>
          </w:tcPr>
          <w:p w14:paraId="0697443B"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Етапи фінансування програми</w:t>
            </w:r>
          </w:p>
        </w:tc>
        <w:tc>
          <w:tcPr>
            <w:tcW w:w="4785" w:type="dxa"/>
          </w:tcPr>
          <w:p w14:paraId="74212EA6"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Щорічно</w:t>
            </w:r>
          </w:p>
          <w:p w14:paraId="38077E62"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p>
        </w:tc>
      </w:tr>
      <w:tr w:rsidR="00076C74" w:rsidRPr="000900BC" w14:paraId="134672DB" w14:textId="77777777" w:rsidTr="00484878">
        <w:tc>
          <w:tcPr>
            <w:tcW w:w="817" w:type="dxa"/>
          </w:tcPr>
          <w:p w14:paraId="0E576206"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7.</w:t>
            </w:r>
          </w:p>
        </w:tc>
        <w:tc>
          <w:tcPr>
            <w:tcW w:w="3969" w:type="dxa"/>
          </w:tcPr>
          <w:p w14:paraId="495844BD"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Джерела фінансування</w:t>
            </w:r>
          </w:p>
        </w:tc>
        <w:tc>
          <w:tcPr>
            <w:tcW w:w="4785" w:type="dxa"/>
          </w:tcPr>
          <w:p w14:paraId="5A51E837" w14:textId="77777777" w:rsidR="00076C74" w:rsidRPr="000900BC" w:rsidRDefault="00076C74" w:rsidP="00484878">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highlight w:val="white"/>
                <w:lang w:val="uk-UA"/>
              </w:rPr>
              <w:t>Бюджет Степанківської сільської територіальної громади</w:t>
            </w:r>
          </w:p>
        </w:tc>
      </w:tr>
    </w:tbl>
    <w:p w14:paraId="10B0EC1E" w14:textId="77777777" w:rsidR="00076C74" w:rsidRPr="000900BC" w:rsidRDefault="00076C74" w:rsidP="00076C74">
      <w:pPr>
        <w:pBdr>
          <w:top w:val="nil"/>
          <w:left w:val="nil"/>
          <w:bottom w:val="nil"/>
          <w:right w:val="nil"/>
          <w:between w:val="nil"/>
        </w:pBdr>
        <w:spacing w:line="240" w:lineRule="auto"/>
        <w:ind w:left="0" w:hanging="3"/>
        <w:rPr>
          <w:color w:val="000000" w:themeColor="text1"/>
          <w:sz w:val="28"/>
          <w:szCs w:val="28"/>
          <w:lang w:val="uk-UA"/>
        </w:rPr>
      </w:pPr>
    </w:p>
    <w:p w14:paraId="6E5EE2FC"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4936BE34"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542BB704"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2C190466"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56CA7EC4"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316E0A82"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6595E6E1"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42C734C8"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6F40BDD6"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21BFAB23"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511522DF" w14:textId="77777777" w:rsidR="00076C74" w:rsidRPr="000900BC" w:rsidRDefault="00076C74" w:rsidP="00076C74">
      <w:pPr>
        <w:pBdr>
          <w:top w:val="nil"/>
          <w:left w:val="nil"/>
          <w:bottom w:val="nil"/>
          <w:right w:val="nil"/>
          <w:between w:val="nil"/>
        </w:pBdr>
        <w:spacing w:line="240" w:lineRule="auto"/>
        <w:ind w:hanging="2"/>
        <w:rPr>
          <w:color w:val="000000" w:themeColor="text1"/>
          <w:sz w:val="22"/>
          <w:szCs w:val="22"/>
          <w:lang w:val="uk-UA"/>
        </w:rPr>
      </w:pPr>
    </w:p>
    <w:p w14:paraId="32E7B7F4" w14:textId="77777777" w:rsidR="00076C74" w:rsidRPr="000900BC" w:rsidRDefault="00076C74" w:rsidP="00076C74">
      <w:pPr>
        <w:pBdr>
          <w:top w:val="nil"/>
          <w:left w:val="nil"/>
          <w:bottom w:val="nil"/>
          <w:right w:val="nil"/>
          <w:between w:val="nil"/>
        </w:pBdr>
        <w:spacing w:line="240" w:lineRule="auto"/>
        <w:ind w:hanging="2"/>
        <w:jc w:val="right"/>
        <w:rPr>
          <w:color w:val="000000" w:themeColor="text1"/>
          <w:sz w:val="24"/>
          <w:szCs w:val="24"/>
          <w:lang w:val="uk-UA"/>
        </w:rPr>
      </w:pPr>
      <w:r w:rsidRPr="000900BC">
        <w:rPr>
          <w:color w:val="000000" w:themeColor="text1"/>
          <w:sz w:val="24"/>
          <w:szCs w:val="24"/>
          <w:lang w:val="uk-UA"/>
        </w:rPr>
        <w:t xml:space="preserve">Додаток  </w:t>
      </w:r>
    </w:p>
    <w:p w14:paraId="7E88D78A" w14:textId="77777777" w:rsidR="00076C74" w:rsidRPr="000900BC" w:rsidRDefault="00076C74" w:rsidP="00076C74">
      <w:pPr>
        <w:pBdr>
          <w:top w:val="nil"/>
          <w:left w:val="nil"/>
          <w:bottom w:val="nil"/>
          <w:right w:val="nil"/>
          <w:between w:val="nil"/>
        </w:pBdr>
        <w:spacing w:line="240" w:lineRule="auto"/>
        <w:ind w:hanging="2"/>
        <w:jc w:val="right"/>
        <w:rPr>
          <w:color w:val="000000" w:themeColor="text1"/>
          <w:sz w:val="24"/>
          <w:szCs w:val="24"/>
          <w:lang w:val="uk-UA"/>
        </w:rPr>
      </w:pPr>
      <w:r w:rsidRPr="000900BC">
        <w:rPr>
          <w:color w:val="000000" w:themeColor="text1"/>
          <w:sz w:val="24"/>
          <w:szCs w:val="24"/>
          <w:lang w:val="uk-UA"/>
        </w:rPr>
        <w:lastRenderedPageBreak/>
        <w:t xml:space="preserve">до рішення виконавчого комітету </w:t>
      </w:r>
    </w:p>
    <w:p w14:paraId="62C1C969" w14:textId="77777777" w:rsidR="00076C74" w:rsidRPr="000900BC" w:rsidRDefault="00076C74" w:rsidP="00076C74">
      <w:pPr>
        <w:pBdr>
          <w:top w:val="nil"/>
          <w:left w:val="nil"/>
          <w:bottom w:val="nil"/>
          <w:right w:val="nil"/>
          <w:between w:val="nil"/>
        </w:pBdr>
        <w:spacing w:line="240" w:lineRule="auto"/>
        <w:ind w:hanging="2"/>
        <w:jc w:val="right"/>
        <w:rPr>
          <w:color w:val="000000" w:themeColor="text1"/>
          <w:sz w:val="24"/>
          <w:szCs w:val="24"/>
          <w:lang w:val="uk-UA"/>
        </w:rPr>
      </w:pPr>
      <w:r w:rsidRPr="000900BC">
        <w:rPr>
          <w:color w:val="000000" w:themeColor="text1"/>
          <w:sz w:val="24"/>
          <w:szCs w:val="24"/>
          <w:lang w:val="uk-UA"/>
        </w:rPr>
        <w:t>сільської ради від 28.10.2022 № 137</w:t>
      </w:r>
      <w:r w:rsidRPr="000900BC">
        <w:rPr>
          <w:b/>
          <w:color w:val="000000" w:themeColor="text1"/>
          <w:sz w:val="24"/>
          <w:szCs w:val="24"/>
          <w:lang w:val="uk-UA"/>
        </w:rPr>
        <w:t xml:space="preserve"> </w:t>
      </w:r>
    </w:p>
    <w:p w14:paraId="3F5899C9" w14:textId="77777777" w:rsidR="00076C74" w:rsidRPr="000900BC" w:rsidRDefault="00076C74" w:rsidP="00076C74">
      <w:pPr>
        <w:pBdr>
          <w:top w:val="nil"/>
          <w:left w:val="nil"/>
          <w:bottom w:val="nil"/>
          <w:right w:val="nil"/>
          <w:between w:val="nil"/>
        </w:pBdr>
        <w:spacing w:line="276" w:lineRule="auto"/>
        <w:ind w:left="0" w:hanging="3"/>
        <w:jc w:val="center"/>
        <w:rPr>
          <w:color w:val="000000" w:themeColor="text1"/>
          <w:lang w:val="uk-UA"/>
        </w:rPr>
      </w:pPr>
      <w:r w:rsidRPr="000900BC">
        <w:rPr>
          <w:b/>
          <w:color w:val="000000" w:themeColor="text1"/>
          <w:lang w:val="uk-UA"/>
        </w:rPr>
        <w:t>Програма</w:t>
      </w:r>
    </w:p>
    <w:p w14:paraId="4510894A" w14:textId="77777777" w:rsidR="00076C74" w:rsidRPr="000900BC" w:rsidRDefault="00076C74" w:rsidP="00076C74">
      <w:pPr>
        <w:pBdr>
          <w:top w:val="nil"/>
          <w:left w:val="nil"/>
          <w:bottom w:val="nil"/>
          <w:right w:val="nil"/>
          <w:between w:val="nil"/>
        </w:pBdr>
        <w:spacing w:line="276" w:lineRule="auto"/>
        <w:ind w:left="0" w:hanging="3"/>
        <w:jc w:val="center"/>
        <w:rPr>
          <w:b/>
          <w:color w:val="000000" w:themeColor="text1"/>
          <w:lang w:val="uk-UA"/>
        </w:rPr>
      </w:pPr>
      <w:r w:rsidRPr="000900BC">
        <w:rPr>
          <w:b/>
          <w:color w:val="000000" w:themeColor="text1"/>
          <w:lang w:val="uk-UA"/>
        </w:rPr>
        <w:t>«Благоустрій» на 2023 рік</w:t>
      </w:r>
    </w:p>
    <w:p w14:paraId="266FAA7C" w14:textId="77777777" w:rsidR="00076C74" w:rsidRPr="000900BC" w:rsidRDefault="00076C74" w:rsidP="00076C74">
      <w:pPr>
        <w:pBdr>
          <w:top w:val="nil"/>
          <w:left w:val="nil"/>
          <w:bottom w:val="nil"/>
          <w:right w:val="nil"/>
          <w:between w:val="nil"/>
        </w:pBdr>
        <w:spacing w:before="280" w:line="240" w:lineRule="auto"/>
        <w:ind w:left="0" w:hanging="3"/>
        <w:jc w:val="center"/>
        <w:rPr>
          <w:b/>
          <w:color w:val="000000" w:themeColor="text1"/>
          <w:sz w:val="28"/>
          <w:szCs w:val="28"/>
          <w:lang w:val="uk-UA"/>
        </w:rPr>
      </w:pPr>
      <w:r w:rsidRPr="000900BC">
        <w:rPr>
          <w:b/>
          <w:color w:val="000000" w:themeColor="text1"/>
          <w:sz w:val="28"/>
          <w:szCs w:val="28"/>
          <w:lang w:val="uk-UA"/>
        </w:rPr>
        <w:t>1. Загальні положення</w:t>
      </w:r>
    </w:p>
    <w:p w14:paraId="24EC1F48" w14:textId="77777777" w:rsidR="00076C74" w:rsidRPr="000900BC" w:rsidRDefault="00076C74" w:rsidP="00076C74">
      <w:pPr>
        <w:pBdr>
          <w:top w:val="nil"/>
          <w:left w:val="nil"/>
          <w:bottom w:val="nil"/>
          <w:right w:val="nil"/>
          <w:between w:val="nil"/>
        </w:pBdr>
        <w:spacing w:before="280" w:line="240" w:lineRule="auto"/>
        <w:ind w:left="0" w:hanging="3"/>
        <w:jc w:val="center"/>
        <w:rPr>
          <w:color w:val="000000" w:themeColor="text1"/>
          <w:sz w:val="28"/>
          <w:szCs w:val="28"/>
          <w:lang w:val="uk-UA"/>
        </w:rPr>
      </w:pPr>
    </w:p>
    <w:p w14:paraId="1178C488" w14:textId="77777777" w:rsidR="00076C74" w:rsidRPr="000900BC" w:rsidRDefault="00076C74" w:rsidP="00076C74">
      <w:pPr>
        <w:pBdr>
          <w:top w:val="nil"/>
          <w:left w:val="nil"/>
          <w:bottom w:val="nil"/>
          <w:right w:val="nil"/>
          <w:between w:val="nil"/>
        </w:pBdr>
        <w:spacing w:line="0" w:lineRule="atLeast"/>
        <w:ind w:left="-3" w:firstLineChars="202" w:firstLine="566"/>
        <w:jc w:val="both"/>
        <w:rPr>
          <w:color w:val="000000" w:themeColor="text1"/>
          <w:sz w:val="28"/>
          <w:szCs w:val="28"/>
          <w:lang w:val="uk-UA"/>
        </w:rPr>
      </w:pPr>
      <w:r w:rsidRPr="000900BC">
        <w:rPr>
          <w:color w:val="000000" w:themeColor="text1"/>
          <w:sz w:val="28"/>
          <w:szCs w:val="28"/>
          <w:lang w:val="uk-UA"/>
        </w:rPr>
        <w:tab/>
        <w:t>Благоустрій – це комплекс робіт з інженерного захисту, очищення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та інше, що здійснюються на території населених пунктів Степанківської сільської  територіальної громади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 з урахуванням гендерно орієнтованого та інклюзивного підходу.</w:t>
      </w:r>
    </w:p>
    <w:p w14:paraId="611851CC" w14:textId="77777777" w:rsidR="00076C74" w:rsidRPr="000900BC" w:rsidRDefault="00076C74" w:rsidP="00076C74">
      <w:pPr>
        <w:pBdr>
          <w:top w:val="nil"/>
          <w:left w:val="nil"/>
          <w:bottom w:val="nil"/>
          <w:right w:val="nil"/>
          <w:between w:val="nil"/>
        </w:pBdr>
        <w:spacing w:line="0" w:lineRule="atLeast"/>
        <w:ind w:left="-3" w:firstLineChars="202" w:firstLine="566"/>
        <w:jc w:val="both"/>
        <w:rPr>
          <w:color w:val="000000" w:themeColor="text1"/>
          <w:sz w:val="28"/>
          <w:szCs w:val="28"/>
          <w:lang w:val="uk-UA"/>
        </w:rPr>
      </w:pPr>
      <w:r w:rsidRPr="000900BC">
        <w:rPr>
          <w:color w:val="000000" w:themeColor="text1"/>
          <w:sz w:val="28"/>
          <w:szCs w:val="28"/>
          <w:lang w:val="uk-UA"/>
        </w:rPr>
        <w:tab/>
        <w:t>Програма благоустрою території населених пунктів Степанківської сільської  територіальної громади на 2022 рік розроблена на виконання Закону України “Про благоустрій населених пунктів”, наказу Мінекономіки України від 04.12.2006 року № 367 «Про затвердження Методичних рекомендацій щодо порядку розроблення регіональних цільових програм, моніторингу та звітності про їх виконання», до п. 22 ч. 14 ст. 26 Закону України «Про місцеве самоврядування в Україні», Законів України «Про дорожній рух», «Про автомобільні дороги», положень ДБН В.2.2-40-2018 Інклюзивність будівель і споруд. ДБН В.2.2-40-2018 Інклюзивність будівель і споруд.</w:t>
      </w:r>
    </w:p>
    <w:p w14:paraId="7D06E861" w14:textId="77777777" w:rsidR="00076C74" w:rsidRPr="000900BC" w:rsidRDefault="00076C74" w:rsidP="00076C74">
      <w:pPr>
        <w:pBdr>
          <w:top w:val="nil"/>
          <w:left w:val="nil"/>
          <w:bottom w:val="nil"/>
          <w:right w:val="nil"/>
          <w:between w:val="nil"/>
        </w:pBdr>
        <w:spacing w:line="0" w:lineRule="atLeast"/>
        <w:ind w:left="-3" w:firstLineChars="202" w:firstLine="566"/>
        <w:jc w:val="both"/>
        <w:rPr>
          <w:color w:val="000000" w:themeColor="text1"/>
          <w:sz w:val="28"/>
          <w:szCs w:val="28"/>
          <w:lang w:val="uk-UA"/>
        </w:rPr>
      </w:pPr>
      <w:r w:rsidRPr="000900BC">
        <w:rPr>
          <w:color w:val="000000" w:themeColor="text1"/>
          <w:sz w:val="28"/>
          <w:szCs w:val="28"/>
          <w:lang w:val="uk-UA"/>
        </w:rPr>
        <w:tab/>
        <w:t>Виконання Програми передбачає:</w:t>
      </w:r>
    </w:p>
    <w:p w14:paraId="0D0DD950" w14:textId="77777777" w:rsidR="00076C74" w:rsidRPr="000900BC" w:rsidRDefault="00076C74" w:rsidP="00076C74">
      <w:pPr>
        <w:pBdr>
          <w:top w:val="nil"/>
          <w:left w:val="nil"/>
          <w:bottom w:val="nil"/>
          <w:right w:val="nil"/>
          <w:between w:val="nil"/>
        </w:pBdr>
        <w:spacing w:line="0" w:lineRule="atLeast"/>
        <w:ind w:left="-3" w:firstLineChars="202" w:firstLine="566"/>
        <w:jc w:val="both"/>
        <w:rPr>
          <w:color w:val="000000" w:themeColor="text1"/>
          <w:sz w:val="28"/>
          <w:szCs w:val="28"/>
          <w:lang w:val="uk-UA"/>
        </w:rPr>
      </w:pPr>
      <w:r w:rsidRPr="000900BC">
        <w:rPr>
          <w:color w:val="000000" w:themeColor="text1"/>
          <w:sz w:val="28"/>
          <w:szCs w:val="28"/>
          <w:lang w:val="uk-UA"/>
        </w:rPr>
        <w:t>– запровадження стимулів до економного і раціонального господарювання та використання ресурсів;</w:t>
      </w:r>
    </w:p>
    <w:p w14:paraId="67568024"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покращення екологічного та санітарного стану населених пунктів Степанківської сільської територіальної громади;</w:t>
      </w:r>
    </w:p>
    <w:p w14:paraId="7C7EDA1D"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прозорість прийнятих рішень щодо реформування житло-комунального господарства;</w:t>
      </w:r>
    </w:p>
    <w:p w14:paraId="29828019" w14:textId="77777777" w:rsidR="00076C74" w:rsidRPr="000900BC" w:rsidRDefault="00076C74" w:rsidP="00076C74">
      <w:pPr>
        <w:numPr>
          <w:ilvl w:val="0"/>
          <w:numId w:val="1"/>
        </w:num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Вивчення потреб мешканців різного віку, статі, фізичного стану та місця проживання з метою врахування їх у плануванні та реалізації заходів з благоустрою.</w:t>
      </w:r>
    </w:p>
    <w:p w14:paraId="0E7918C6" w14:textId="77777777" w:rsidR="00076C74" w:rsidRPr="000900BC" w:rsidRDefault="00076C74" w:rsidP="00076C74">
      <w:pPr>
        <w:pBdr>
          <w:top w:val="nil"/>
          <w:left w:val="nil"/>
          <w:bottom w:val="nil"/>
          <w:right w:val="nil"/>
          <w:between w:val="nil"/>
        </w:pBdr>
        <w:spacing w:before="280" w:after="280" w:line="240" w:lineRule="auto"/>
        <w:ind w:left="-3" w:firstLineChars="202" w:firstLine="566"/>
        <w:jc w:val="both"/>
        <w:rPr>
          <w:color w:val="000000" w:themeColor="text1"/>
          <w:sz w:val="28"/>
          <w:szCs w:val="28"/>
          <w:lang w:val="uk-UA"/>
        </w:rPr>
      </w:pPr>
      <w:r w:rsidRPr="000900BC">
        <w:rPr>
          <w:color w:val="000000" w:themeColor="text1"/>
          <w:sz w:val="28"/>
          <w:szCs w:val="28"/>
          <w:lang w:val="uk-UA"/>
        </w:rPr>
        <w:tab/>
        <w:t>Однією з цілей Програми благоустрою території населених пунктів Степанківської сільської територіальної громади є створення безпечного та комфортного середовища для проживання, що досягається шляхом забезпечення належного рівня благоустрою з урахуванням потреб різних груп мешканців і мешканок. Роботи з благоустрою здійснюються силами працівників організацій і підприємств, приватних підприємців, фізичних осіб, що здійснюють свою діяльність на території Степанківської сільської територіальної громади, а також шляхом залучення  зареєстрованих у центрі зайнятості безробітних.</w:t>
      </w:r>
    </w:p>
    <w:p w14:paraId="56B827AA" w14:textId="77777777" w:rsidR="00076C74" w:rsidRPr="000900BC" w:rsidRDefault="00076C74" w:rsidP="00076C74">
      <w:pPr>
        <w:pBdr>
          <w:top w:val="nil"/>
          <w:left w:val="nil"/>
          <w:bottom w:val="nil"/>
          <w:right w:val="nil"/>
          <w:between w:val="nil"/>
        </w:pBdr>
        <w:spacing w:before="280" w:after="280" w:line="240" w:lineRule="auto"/>
        <w:ind w:left="0" w:hanging="3"/>
        <w:jc w:val="center"/>
        <w:rPr>
          <w:color w:val="000000" w:themeColor="text1"/>
          <w:sz w:val="24"/>
          <w:szCs w:val="24"/>
          <w:lang w:val="uk-UA"/>
        </w:rPr>
      </w:pPr>
      <w:r w:rsidRPr="000900BC">
        <w:rPr>
          <w:b/>
          <w:color w:val="000000" w:themeColor="text1"/>
          <w:sz w:val="28"/>
          <w:szCs w:val="28"/>
          <w:lang w:val="uk-UA"/>
        </w:rPr>
        <w:lastRenderedPageBreak/>
        <w:t xml:space="preserve">2. Мета Програми </w:t>
      </w:r>
    </w:p>
    <w:p w14:paraId="71D68663" w14:textId="77777777" w:rsidR="00076C74" w:rsidRPr="000900BC" w:rsidRDefault="00076C74" w:rsidP="00076C74">
      <w:pPr>
        <w:pBdr>
          <w:top w:val="nil"/>
          <w:left w:val="nil"/>
          <w:bottom w:val="nil"/>
          <w:right w:val="nil"/>
          <w:between w:val="nil"/>
        </w:pBdr>
        <w:spacing w:before="280" w:after="280" w:line="240" w:lineRule="auto"/>
        <w:ind w:left="-3" w:firstLineChars="202" w:firstLine="566"/>
        <w:jc w:val="both"/>
        <w:rPr>
          <w:color w:val="000000" w:themeColor="text1"/>
          <w:sz w:val="28"/>
          <w:szCs w:val="28"/>
          <w:lang w:val="uk-UA"/>
        </w:rPr>
      </w:pPr>
      <w:r w:rsidRPr="000900BC">
        <w:rPr>
          <w:color w:val="000000" w:themeColor="text1"/>
          <w:sz w:val="28"/>
          <w:szCs w:val="28"/>
          <w:lang w:val="uk-UA"/>
        </w:rPr>
        <w:tab/>
        <w:t>Метою Програми є реалізація комплексу заходів щодо забезпечення утримання в належному санітарно-технічному стані території населених пунктів Степанківської сільської територіальної громади та покращення їх естетичного вигляду для створення оптимальних умов праці, побуту та відпочинку мешканців різного віку, статі, місця проживання, фізичного стану, у тому числі з інвалідністю та сенсорними порушеннями.</w:t>
      </w:r>
    </w:p>
    <w:p w14:paraId="4DEE77CE" w14:textId="77777777" w:rsidR="00076C74" w:rsidRPr="000900BC" w:rsidRDefault="00076C74" w:rsidP="00076C74">
      <w:pPr>
        <w:pBdr>
          <w:top w:val="nil"/>
          <w:left w:val="nil"/>
          <w:bottom w:val="nil"/>
          <w:right w:val="nil"/>
          <w:between w:val="nil"/>
        </w:pBdr>
        <w:spacing w:before="280" w:after="280" w:line="240" w:lineRule="auto"/>
        <w:ind w:left="-3" w:firstLineChars="202" w:firstLine="566"/>
        <w:jc w:val="both"/>
        <w:rPr>
          <w:color w:val="000000" w:themeColor="text1"/>
          <w:sz w:val="28"/>
          <w:szCs w:val="28"/>
          <w:lang w:val="uk-UA"/>
        </w:rPr>
      </w:pPr>
      <w:r w:rsidRPr="000900BC">
        <w:rPr>
          <w:color w:val="000000" w:themeColor="text1"/>
          <w:sz w:val="28"/>
          <w:szCs w:val="28"/>
          <w:lang w:val="uk-UA"/>
        </w:rPr>
        <w:t>Програмою передбачається проведення роботи у наступних напрямках:</w:t>
      </w:r>
    </w:p>
    <w:p w14:paraId="5076ECC8"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покращення зовнішнього вигляду та санітарного стану населених пунктів сільської територіальної громади (організація прибирання населених пунктів, забезпечення своєчасного вивезення твердих побутових відходів, ліквідація стихійних сміттєзвалищ, викошування зелених зон, поточний та капітальний ремонт дитячих та спортивних майданчиків, об’єктів благоустрою тощо);</w:t>
      </w:r>
    </w:p>
    <w:p w14:paraId="7D66916A"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розроблення відповідної документації щодо відведення земельних ділянок під існуючими дитячими та спортивними майданчиками, кладовищами парками та інше;</w:t>
      </w:r>
    </w:p>
    <w:p w14:paraId="62E58AC3"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створення нових зон для відпочинку, дитячих та спортивних майданчиків з урахуванням потреб різних груп жінок і чоловіків, у тому числі з маломобільних груп населення;</w:t>
      </w:r>
    </w:p>
    <w:p w14:paraId="1B095367"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організація роздільного сміття придбання спеціальних контейнерів та укладання договорів з відповідними підприємствами для їх подальшої утилізації;</w:t>
      </w:r>
    </w:p>
    <w:p w14:paraId="4FD153DC"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проведення ремонту доріг, грейдерування вулиць населених пунктів з відновленням дорожніх знаків, зупинок, розмітки, тротуарів, огорож, пристосувань для фізичної та інформаційної доступності жінок і чоловіків з інвалідністю, сенсорними порушеннями та з маломобільних груп;</w:t>
      </w:r>
    </w:p>
    <w:p w14:paraId="2C8AF6AA"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окультурення зелених насаджень з одночасною санітарною вирізкою сухих, аварійних дерев та формуванням крон існуючих дерев, утримання клумб, газонів, смуг зелених насаджень;</w:t>
      </w:r>
    </w:p>
    <w:p w14:paraId="6A25A621"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забезпечення освітлення населених пунктів (поточне утримання, впровадження енергозберігаючих технологій в роботі мережі зовнішнього освітлення);</w:t>
      </w:r>
    </w:p>
    <w:p w14:paraId="4163400A"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-забезпечення належних умов для поховань померлих (впорядкування існуючих кладовищ );</w:t>
      </w:r>
    </w:p>
    <w:p w14:paraId="179CA9BC"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створення відповідних умов відпочинку дітей, підлітків та дорослого населення (утримання та впорядкування парків, скверів, дитячих майданчиків інших об’єктів благоустрою) з урахуванням гендерного та інклюзивного підходу;</w:t>
      </w:r>
    </w:p>
    <w:p w14:paraId="70284C90"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залучення до виконання робіт із благоустрою населених пунктів осіб з числа безробітних, зареєстрованих у центрі зайнятості на договірній основі, а також осіб засуджених до виконання громадських робіт;</w:t>
      </w:r>
    </w:p>
    <w:p w14:paraId="550E2427"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lastRenderedPageBreak/>
        <w:t>- створення умов для безперешкодного доступу осіб з інвалідністю, сенсорними порушеннями та з маломобільних груп до об’єктів благоустрою;</w:t>
      </w:r>
    </w:p>
    <w:p w14:paraId="1A8DBF1E"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покращення санітарно-естетичного стану населених пунктів, гуманне поводження з безпритульними тваринами, розроблення та впровадження системи масової стерилізації безпритульних тварин;</w:t>
      </w:r>
    </w:p>
    <w:p w14:paraId="4AE9984C"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закупівля, оренда механічного обладнання для Робочої групи з благоустрою та КЗ «Місцева пожежна команда»;</w:t>
      </w:r>
    </w:p>
    <w:p w14:paraId="7E847080"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проведення роз'яснювальної роботи серед населення, з урахуванням потреб осіб з порушенням зору та слуху, встановлення стендів, плакатів та табличок щодо дотримання правил благоустрою, санітарних норм, правил поведінки в громадських місцях, участі громадян у наведенні порядку за місцем проживання.</w:t>
      </w:r>
    </w:p>
    <w:p w14:paraId="39DCD6FC" w14:textId="77777777" w:rsidR="00076C74" w:rsidRPr="000900BC" w:rsidRDefault="00076C74" w:rsidP="00076C74">
      <w:pPr>
        <w:pBdr>
          <w:top w:val="nil"/>
          <w:left w:val="nil"/>
          <w:bottom w:val="nil"/>
          <w:right w:val="nil"/>
          <w:between w:val="nil"/>
        </w:pBdr>
        <w:spacing w:before="280" w:after="280" w:line="240" w:lineRule="auto"/>
        <w:ind w:left="0" w:hanging="3"/>
        <w:jc w:val="center"/>
        <w:rPr>
          <w:color w:val="000000" w:themeColor="text1"/>
          <w:sz w:val="24"/>
          <w:szCs w:val="24"/>
          <w:lang w:val="uk-UA"/>
        </w:rPr>
      </w:pPr>
      <w:r w:rsidRPr="000900BC">
        <w:rPr>
          <w:b/>
          <w:color w:val="000000" w:themeColor="text1"/>
          <w:sz w:val="28"/>
          <w:szCs w:val="28"/>
          <w:lang w:val="uk-UA"/>
        </w:rPr>
        <w:t xml:space="preserve">3. Обґрунтування шляхів і засобів реалізації Програми благоустрою </w:t>
      </w:r>
    </w:p>
    <w:p w14:paraId="68305E62"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xml:space="preserve">Реалізація Програми відбуватиметься шляхом виконання містобудівних, архітектурних, організаційних, інженерно-технічних, екологічних та економічних заходів, що забезпечать комплексний благоустрій території населених пунктів Степанківської сільської територіальної громади, створить  сприятливе для життєдіяльності людини середовище. Основними заходами реалізації програми визначено такі роботи: </w:t>
      </w:r>
    </w:p>
    <w:p w14:paraId="22A1B177"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p>
    <w:p w14:paraId="3021F03B"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прибирання та очищення населених пунктів від сміттєзвалищ та побутових відходів ;</w:t>
      </w:r>
    </w:p>
    <w:p w14:paraId="2109E4A6"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реконструкція, будівництво та утримання мережі вуличного освітлення;</w:t>
      </w:r>
    </w:p>
    <w:p w14:paraId="13956649"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догляд за зеленими насадженнями;</w:t>
      </w:r>
    </w:p>
    <w:p w14:paraId="6581B7EA"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утримання та благоустрій кладовищ;</w:t>
      </w:r>
    </w:p>
    <w:p w14:paraId="3C796B18"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будівництво та ремонт пам’ятників та пам’ятних знаків;</w:t>
      </w:r>
    </w:p>
    <w:p w14:paraId="190E3E74"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поточний і капітальний ремонт доріг комунальної власності та доріг загального користування місцевого значення;</w:t>
      </w:r>
    </w:p>
    <w:p w14:paraId="527EAD99"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ремонт тротуарів, площ та благоустрій (в тім числі асфальтування) територій комунальних закладів;</w:t>
      </w:r>
    </w:p>
    <w:p w14:paraId="60D6AF08"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будівництво та ремонт автобусних зупинок;</w:t>
      </w:r>
    </w:p>
    <w:p w14:paraId="2705A7B1"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придбання, установка та ремонт дитячих та спортивних майданчиків;</w:t>
      </w:r>
    </w:p>
    <w:p w14:paraId="1EFEE65A"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санітарна очистка та вирубка чагарників, знесення аварійних дерев;</w:t>
      </w:r>
    </w:p>
    <w:p w14:paraId="33D7D540"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облаштування зон відпочинку з урахуванням потреб дітей та молоді, жінок та чоловіків середнього і старшого віку, у тому числі з інвалідністю та інших маломобільних груп населення;</w:t>
      </w:r>
    </w:p>
    <w:p w14:paraId="7A1CC7D2"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насадження квітів, кущів, газонів та їх утримання;</w:t>
      </w:r>
    </w:p>
    <w:p w14:paraId="3D2ABFBF"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побілка дерев та бордюрів;</w:t>
      </w:r>
    </w:p>
    <w:p w14:paraId="2C0AD0FD"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санітарні покоси зелених зон;</w:t>
      </w:r>
    </w:p>
    <w:p w14:paraId="36004224"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ліквідація несанкційних сміттєзвалищ;</w:t>
      </w:r>
    </w:p>
    <w:p w14:paraId="42F63CD0"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святкове оформлення, яке передбачає покращення естетичного вигляду населених пунктів в святкові дні;</w:t>
      </w:r>
    </w:p>
    <w:p w14:paraId="7B87DA51"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lastRenderedPageBreak/>
        <w:t>- проведення роз’яснювальної роботи з населенням з питань благоустрою та санітарного стану населених пунктів сільської територіальної громади;</w:t>
      </w:r>
    </w:p>
    <w:p w14:paraId="25CF3EB4"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проведення гендерного аудиту безпеки та доступності громади з метою виявлення та вирішення існуючих проблем благоустрою, які обмежують доступність чи створюють небезпеку для населення (розглянути, можливість передбачити необхідне фінансування для організації навчання, проведення та презентації результатів гендерного аудиту доступності).</w:t>
      </w:r>
    </w:p>
    <w:p w14:paraId="1AA53AD0" w14:textId="77777777" w:rsidR="00076C74" w:rsidRPr="000900BC" w:rsidRDefault="00076C74" w:rsidP="00076C74">
      <w:pPr>
        <w:pBdr>
          <w:top w:val="nil"/>
          <w:left w:val="nil"/>
          <w:bottom w:val="nil"/>
          <w:right w:val="nil"/>
          <w:between w:val="nil"/>
        </w:pBdr>
        <w:spacing w:line="240" w:lineRule="auto"/>
        <w:ind w:left="0" w:hanging="3"/>
        <w:jc w:val="center"/>
        <w:rPr>
          <w:b/>
          <w:color w:val="000000" w:themeColor="text1"/>
          <w:sz w:val="28"/>
          <w:szCs w:val="28"/>
          <w:lang w:val="uk-UA"/>
        </w:rPr>
      </w:pPr>
      <w:r w:rsidRPr="000900BC">
        <w:rPr>
          <w:b/>
          <w:color w:val="000000" w:themeColor="text1"/>
          <w:sz w:val="28"/>
          <w:szCs w:val="28"/>
          <w:lang w:val="uk-UA"/>
        </w:rPr>
        <w:t>4. Очікувані результати виконання Програми</w:t>
      </w:r>
    </w:p>
    <w:p w14:paraId="4FCDF29C" w14:textId="77777777" w:rsidR="00076C74" w:rsidRPr="000900BC" w:rsidRDefault="00076C74" w:rsidP="00076C74">
      <w:pPr>
        <w:pBdr>
          <w:top w:val="nil"/>
          <w:left w:val="nil"/>
          <w:bottom w:val="nil"/>
          <w:right w:val="nil"/>
          <w:between w:val="nil"/>
        </w:pBdr>
        <w:spacing w:line="240" w:lineRule="auto"/>
        <w:ind w:left="0" w:hanging="3"/>
        <w:jc w:val="center"/>
        <w:rPr>
          <w:color w:val="000000" w:themeColor="text1"/>
          <w:sz w:val="28"/>
          <w:szCs w:val="28"/>
          <w:lang w:val="uk-UA"/>
        </w:rPr>
      </w:pPr>
    </w:p>
    <w:p w14:paraId="2AE13B97" w14:textId="77777777" w:rsidR="00076C74" w:rsidRPr="000900BC" w:rsidRDefault="00076C74" w:rsidP="00076C74">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Виконання Програми дасть можливість забезпечити:</w:t>
      </w:r>
    </w:p>
    <w:p w14:paraId="1DB7DF6F"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підвищення рівня якості послуг, що надаються населенню з питань благоустрою та санітарної очистки з урахуванням потреб різних груп жінок і чоловіків, у тому числі з маломобільних груп населення;</w:t>
      </w:r>
    </w:p>
    <w:p w14:paraId="3203550E"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зменшення шкідливого впливу побутових відходів на навколишнє природне середовище та здоров’я людини;</w:t>
      </w:r>
    </w:p>
    <w:p w14:paraId="44E2C89C"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створення умов для очищення населених пунктів від забруднення побутовими відходами;</w:t>
      </w:r>
    </w:p>
    <w:p w14:paraId="4B36F04C"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значне покращення санітарного стану та благоустрою населених пунктів сільської територіальної громади;</w:t>
      </w:r>
    </w:p>
    <w:p w14:paraId="15AD7578"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розвиток та модернізацію мереж зовнішнього освітлення;</w:t>
      </w:r>
    </w:p>
    <w:p w14:paraId="3A80389D"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–поточний та капітальний ремонт доріг та тротуарів;</w:t>
      </w:r>
    </w:p>
    <w:p w14:paraId="6408A577"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_ виконання робіт по боротьбі з ожеледецею в зимовий період, в які входять роботи по посипанню протиожеледними сумішами проїзної частини вулиць, площ, тротуарів;</w:t>
      </w:r>
    </w:p>
    <w:p w14:paraId="3AC0BC8B"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покращення загального екологічного стану територій, зменшення негативного впливу на оточуюче середовище та довкілля;</w:t>
      </w:r>
    </w:p>
    <w:p w14:paraId="0F0DF312"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створення належних умов для безпечного та комфортного проживання мешканців та мешканок, забезпечення санітарного та епідемічного благополуччя.</w:t>
      </w:r>
    </w:p>
    <w:p w14:paraId="2532B376"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p>
    <w:p w14:paraId="251B7901" w14:textId="77777777" w:rsidR="00076C74" w:rsidRPr="000900BC" w:rsidRDefault="00076C74" w:rsidP="00076C74">
      <w:pPr>
        <w:pBdr>
          <w:top w:val="nil"/>
          <w:left w:val="nil"/>
          <w:bottom w:val="nil"/>
          <w:right w:val="nil"/>
          <w:between w:val="nil"/>
        </w:pBdr>
        <w:spacing w:line="240" w:lineRule="auto"/>
        <w:ind w:left="0" w:hanging="3"/>
        <w:jc w:val="center"/>
        <w:rPr>
          <w:color w:val="000000" w:themeColor="text1"/>
          <w:sz w:val="28"/>
          <w:szCs w:val="28"/>
          <w:lang w:val="uk-UA"/>
        </w:rPr>
      </w:pPr>
      <w:r w:rsidRPr="000900BC">
        <w:rPr>
          <w:b/>
          <w:color w:val="000000" w:themeColor="text1"/>
          <w:sz w:val="28"/>
          <w:szCs w:val="28"/>
          <w:lang w:val="uk-UA"/>
        </w:rPr>
        <w:t>5.Джерела фінансування заходів Програми</w:t>
      </w:r>
    </w:p>
    <w:p w14:paraId="29FDEB9D" w14:textId="77777777" w:rsidR="00076C74" w:rsidRPr="000900BC" w:rsidRDefault="00076C74" w:rsidP="00076C74">
      <w:pPr>
        <w:pBdr>
          <w:top w:val="nil"/>
          <w:left w:val="nil"/>
          <w:bottom w:val="nil"/>
          <w:right w:val="nil"/>
          <w:between w:val="nil"/>
        </w:pBdr>
        <w:spacing w:line="240" w:lineRule="auto"/>
        <w:ind w:left="0" w:hanging="3"/>
        <w:jc w:val="center"/>
        <w:rPr>
          <w:color w:val="000000" w:themeColor="text1"/>
          <w:sz w:val="28"/>
          <w:szCs w:val="28"/>
          <w:lang w:val="uk-UA"/>
        </w:rPr>
      </w:pPr>
    </w:p>
    <w:p w14:paraId="0D44AE1F"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Основним джерелом фінансування Програми є кошти місцевого бюджету та інші джерела фінансування, не заборонені законодавством.</w:t>
      </w:r>
    </w:p>
    <w:p w14:paraId="1ED884B3"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p>
    <w:p w14:paraId="73678BA9"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p>
    <w:p w14:paraId="6665BAEB" w14:textId="77777777" w:rsidR="00076C74" w:rsidRPr="000900BC" w:rsidRDefault="00076C74" w:rsidP="00076C74">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Секретар сільської ради                                                                   Інна НЕВГОД</w:t>
      </w:r>
    </w:p>
    <w:p w14:paraId="1700CAAA" w14:textId="77777777" w:rsidR="00A91250" w:rsidRDefault="00A91250">
      <w:pPr>
        <w:ind w:left="0" w:hanging="3"/>
      </w:pPr>
    </w:p>
    <w:sectPr w:rsidR="00A91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50EB7"/>
    <w:multiLevelType w:val="multilevel"/>
    <w:tmpl w:val="7D40622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42"/>
    <w:rsid w:val="00076C74"/>
    <w:rsid w:val="006B0142"/>
    <w:rsid w:val="00A91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020C8-B9D3-4475-AFE7-EDFC0B48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76C7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1633</Words>
  <Characters>9314</Characters>
  <Application>Microsoft Office Word</Application>
  <DocSecurity>0</DocSecurity>
  <Lines>77</Lines>
  <Paragraphs>21</Paragraphs>
  <ScaleCrop>false</ScaleCrop>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2023-04-27T08:37:00Z</dcterms:created>
  <dcterms:modified xsi:type="dcterms:W3CDTF">2023-04-27T08:37:00Z</dcterms:modified>
</cp:coreProperties>
</file>