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05" w:rsidRDefault="00167D05" w:rsidP="00167D05">
      <w:pPr>
        <w:rPr>
          <w:sz w:val="28"/>
          <w:szCs w:val="28"/>
        </w:rPr>
      </w:pPr>
    </w:p>
    <w:p w:rsidR="00167D05" w:rsidRDefault="00167D05" w:rsidP="00167D0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073CC7BA" wp14:editId="41C6DA73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05" w:rsidRDefault="00167D05" w:rsidP="00167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:rsidR="00167D05" w:rsidRDefault="00167D05" w:rsidP="00167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четверта сесія восьмого скликання</w:t>
      </w:r>
    </w:p>
    <w:p w:rsidR="00167D05" w:rsidRDefault="00167D05" w:rsidP="00167D05">
      <w:pPr>
        <w:ind w:left="2836" w:firstLine="709"/>
        <w:jc w:val="center"/>
        <w:rPr>
          <w:b/>
          <w:sz w:val="28"/>
          <w:szCs w:val="28"/>
        </w:rPr>
      </w:pPr>
    </w:p>
    <w:p w:rsidR="00167D05" w:rsidRDefault="00167D05" w:rsidP="00167D05">
      <w:pPr>
        <w:ind w:left="283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РІШЕННЯ</w:t>
      </w:r>
    </w:p>
    <w:p w:rsidR="00167D05" w:rsidRDefault="00167D05" w:rsidP="00167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/ПРОЄКТ/</w:t>
      </w:r>
    </w:p>
    <w:p w:rsidR="00167D05" w:rsidRDefault="00167D05" w:rsidP="00167D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00.00.2023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№00-00/VIII</w:t>
      </w:r>
    </w:p>
    <w:p w:rsidR="00167D05" w:rsidRDefault="00167D05" w:rsidP="00167D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Степанки</w:t>
      </w:r>
    </w:p>
    <w:p w:rsidR="00167D05" w:rsidRDefault="00167D05" w:rsidP="00167D05">
      <w:pPr>
        <w:rPr>
          <w:b/>
          <w:sz w:val="28"/>
          <w:szCs w:val="28"/>
        </w:rPr>
      </w:pPr>
    </w:p>
    <w:p w:rsidR="00167D05" w:rsidRDefault="00167D05" w:rsidP="00167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встановлення ставок та пільг із</w:t>
      </w:r>
    </w:p>
    <w:p w:rsidR="00167D05" w:rsidRDefault="00167D05" w:rsidP="00167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сплати податку на нерухоме майно,</w:t>
      </w:r>
    </w:p>
    <w:p w:rsidR="00167D05" w:rsidRDefault="00167D05" w:rsidP="00167D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відмінне від земельної ділянки</w:t>
      </w:r>
    </w:p>
    <w:p w:rsidR="00167D05" w:rsidRDefault="00167D05" w:rsidP="00167D05">
      <w:r>
        <w:t xml:space="preserve">             </w:t>
      </w:r>
    </w:p>
    <w:p w:rsidR="00167D05" w:rsidRDefault="00167D05" w:rsidP="00167D0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24 частини 1 статті 26, статті 69 Закону України «Про місцеве самоврядування в Україні», </w:t>
      </w:r>
      <w:r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>
        <w:rPr>
          <w:color w:val="000000"/>
          <w:sz w:val="28"/>
          <w:szCs w:val="28"/>
        </w:rPr>
        <w:t xml:space="preserve">підпункту 12.3.8 пункт 12.3 статті 12, </w:t>
      </w:r>
      <w:r>
        <w:rPr>
          <w:color w:val="000000"/>
          <w:sz w:val="28"/>
          <w:szCs w:val="28"/>
          <w:shd w:val="clear" w:color="auto" w:fill="FFFFFF"/>
        </w:rPr>
        <w:t xml:space="preserve">статті 266 </w:t>
      </w:r>
      <w:r>
        <w:rPr>
          <w:color w:val="000000"/>
          <w:sz w:val="28"/>
          <w:szCs w:val="28"/>
        </w:rPr>
        <w:t xml:space="preserve">Податкового Кодексу України, Закону України від 24.03.2022 № 2142-IX «Про внесення змін до Податкового кодексу України та інших законодавчих актів України щодо вдосконалення законодавства на період дії воєнного стану», за погодженням з постійною комісією з питань фінансів, бюджету, планування, соціально-економічного розвитку, інвестицій та міжнародного співробітництва </w:t>
      </w:r>
      <w:proofErr w:type="spellStart"/>
      <w:r>
        <w:rPr>
          <w:color w:val="000000"/>
          <w:sz w:val="28"/>
          <w:szCs w:val="28"/>
        </w:rPr>
        <w:t>Степанківської</w:t>
      </w:r>
      <w:proofErr w:type="spellEnd"/>
      <w:r>
        <w:rPr>
          <w:color w:val="000000"/>
          <w:sz w:val="28"/>
          <w:szCs w:val="28"/>
        </w:rPr>
        <w:t xml:space="preserve"> сільської ради, </w:t>
      </w:r>
      <w:proofErr w:type="spellStart"/>
      <w:r>
        <w:rPr>
          <w:color w:val="000000"/>
          <w:sz w:val="28"/>
          <w:szCs w:val="28"/>
        </w:rPr>
        <w:t>Степанківська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сільська рада</w:t>
      </w:r>
    </w:p>
    <w:p w:rsidR="00167D05" w:rsidRDefault="00167D05" w:rsidP="00167D05">
      <w:pPr>
        <w:rPr>
          <w:b/>
          <w:color w:val="000000"/>
          <w:sz w:val="28"/>
          <w:szCs w:val="28"/>
        </w:rPr>
      </w:pPr>
    </w:p>
    <w:p w:rsidR="00167D05" w:rsidRDefault="00167D05" w:rsidP="00167D0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167D05" w:rsidRDefault="00167D05" w:rsidP="00167D05">
      <w:pPr>
        <w:rPr>
          <w:color w:val="000000"/>
          <w:sz w:val="28"/>
          <w:szCs w:val="28"/>
        </w:rPr>
      </w:pPr>
    </w:p>
    <w:p w:rsidR="00167D05" w:rsidRDefault="00167D05" w:rsidP="00167D0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1.Встановити на території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сільської територіальної громади ставки податку на нерухоме майно, відмінне від земельної ділянки, та пільги для фізичних та юридичних осіб, надані відповідно до Податкового кодексу України (додаток 1).</w:t>
      </w:r>
    </w:p>
    <w:p w:rsidR="00167D05" w:rsidRDefault="00167D05" w:rsidP="00167D05">
      <w:pPr>
        <w:ind w:left="52"/>
        <w:jc w:val="both"/>
        <w:rPr>
          <w:rStyle w:val="rvts9"/>
          <w:bCs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rStyle w:val="rvts9"/>
          <w:bCs/>
        </w:rPr>
        <w:t>В</w:t>
      </w:r>
      <w:r>
        <w:rPr>
          <w:rStyle w:val="rvts9"/>
          <w:bCs/>
          <w:color w:val="000000"/>
          <w:sz w:val="28"/>
          <w:szCs w:val="28"/>
        </w:rPr>
        <w:t xml:space="preserve">изначити зони розташування об’єктів нежитлової нерухомості </w:t>
      </w:r>
      <w:proofErr w:type="spellStart"/>
      <w:r>
        <w:rPr>
          <w:rStyle w:val="rvts9"/>
          <w:bCs/>
          <w:color w:val="000000"/>
          <w:sz w:val="28"/>
          <w:szCs w:val="28"/>
        </w:rPr>
        <w:t>Степанківської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сільської  територіальної громади у таких межах:</w:t>
      </w:r>
    </w:p>
    <w:p w:rsidR="00167D05" w:rsidRDefault="00167D05" w:rsidP="00167D05">
      <w:pPr>
        <w:ind w:left="52" w:firstLine="656"/>
        <w:jc w:val="both"/>
        <w:rPr>
          <w:rStyle w:val="rvts9"/>
          <w:bCs/>
          <w:color w:val="000000"/>
          <w:sz w:val="28"/>
          <w:szCs w:val="28"/>
        </w:rPr>
      </w:pPr>
      <w:r>
        <w:rPr>
          <w:rStyle w:val="rvts9"/>
          <w:bCs/>
          <w:color w:val="000000"/>
          <w:sz w:val="28"/>
          <w:szCs w:val="28"/>
        </w:rPr>
        <w:t>Перша зона – в межа</w:t>
      </w:r>
      <w:r>
        <w:rPr>
          <w:rStyle w:val="rvts9"/>
          <w:bCs/>
          <w:color w:val="000000"/>
          <w:sz w:val="28"/>
          <w:szCs w:val="28"/>
        </w:rPr>
        <w:t xml:space="preserve">х сіл </w:t>
      </w:r>
      <w:proofErr w:type="spellStart"/>
      <w:r>
        <w:rPr>
          <w:rStyle w:val="rvts9"/>
          <w:bCs/>
          <w:color w:val="000000"/>
          <w:sz w:val="28"/>
          <w:szCs w:val="28"/>
        </w:rPr>
        <w:t>Хацьки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, Степанки, </w:t>
      </w:r>
      <w:proofErr w:type="spellStart"/>
      <w:r>
        <w:rPr>
          <w:rStyle w:val="rvts9"/>
          <w:bCs/>
          <w:color w:val="000000"/>
          <w:sz w:val="28"/>
          <w:szCs w:val="28"/>
        </w:rPr>
        <w:t>Бузуків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; </w:t>
      </w:r>
    </w:p>
    <w:p w:rsidR="00167D05" w:rsidRDefault="00167D05" w:rsidP="00167D05">
      <w:pPr>
        <w:ind w:firstLine="708"/>
        <w:jc w:val="both"/>
        <w:rPr>
          <w:rStyle w:val="rvts9"/>
          <w:bCs/>
          <w:color w:val="000000"/>
          <w:sz w:val="28"/>
          <w:szCs w:val="28"/>
        </w:rPr>
      </w:pPr>
      <w:r>
        <w:rPr>
          <w:rStyle w:val="rvts9"/>
          <w:bCs/>
          <w:color w:val="000000"/>
          <w:sz w:val="28"/>
          <w:szCs w:val="28"/>
        </w:rPr>
        <w:t>Друга</w:t>
      </w:r>
      <w:r>
        <w:rPr>
          <w:rStyle w:val="rvts9"/>
          <w:bCs/>
          <w:color w:val="000000"/>
          <w:sz w:val="28"/>
          <w:szCs w:val="28"/>
        </w:rPr>
        <w:t xml:space="preserve"> зона –</w:t>
      </w:r>
      <w:r>
        <w:rPr>
          <w:rStyle w:val="rvts9"/>
          <w:bCs/>
          <w:color w:val="000000"/>
          <w:sz w:val="28"/>
          <w:szCs w:val="28"/>
        </w:rPr>
        <w:t xml:space="preserve"> </w:t>
      </w:r>
      <w:r>
        <w:rPr>
          <w:rStyle w:val="rvts9"/>
          <w:bCs/>
          <w:color w:val="000000"/>
          <w:sz w:val="28"/>
          <w:szCs w:val="28"/>
        </w:rPr>
        <w:t xml:space="preserve">за межами сіл </w:t>
      </w:r>
      <w:proofErr w:type="spellStart"/>
      <w:r>
        <w:rPr>
          <w:rStyle w:val="rvts9"/>
          <w:bCs/>
          <w:color w:val="000000"/>
          <w:sz w:val="28"/>
          <w:szCs w:val="28"/>
        </w:rPr>
        <w:t>Хацьки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, Степанки, </w:t>
      </w:r>
      <w:proofErr w:type="spellStart"/>
      <w:r>
        <w:rPr>
          <w:rStyle w:val="rvts9"/>
          <w:bCs/>
          <w:color w:val="000000"/>
          <w:sz w:val="28"/>
          <w:szCs w:val="28"/>
        </w:rPr>
        <w:t>Бузуків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, Малий </w:t>
      </w:r>
      <w:proofErr w:type="spellStart"/>
      <w:r>
        <w:rPr>
          <w:rStyle w:val="rvts9"/>
          <w:bCs/>
          <w:color w:val="000000"/>
          <w:sz w:val="28"/>
          <w:szCs w:val="28"/>
        </w:rPr>
        <w:t>Бузуків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, Гуляй-Городок, </w:t>
      </w:r>
      <w:proofErr w:type="spellStart"/>
      <w:r>
        <w:rPr>
          <w:rStyle w:val="rvts9"/>
          <w:bCs/>
          <w:color w:val="000000"/>
          <w:sz w:val="28"/>
          <w:szCs w:val="28"/>
        </w:rPr>
        <w:t>Голов’ятине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і </w:t>
      </w:r>
      <w:proofErr w:type="spellStart"/>
      <w:r>
        <w:rPr>
          <w:rStyle w:val="rvts9"/>
          <w:bCs/>
          <w:color w:val="000000"/>
          <w:sz w:val="28"/>
          <w:szCs w:val="28"/>
        </w:rPr>
        <w:t>Залевки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в </w:t>
      </w:r>
      <w:proofErr w:type="spellStart"/>
      <w:r>
        <w:rPr>
          <w:rStyle w:val="rvts9"/>
          <w:bCs/>
          <w:color w:val="000000"/>
          <w:sz w:val="28"/>
          <w:szCs w:val="28"/>
        </w:rPr>
        <w:t>адмінмежах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9"/>
          <w:bCs/>
          <w:color w:val="000000"/>
          <w:sz w:val="28"/>
          <w:szCs w:val="28"/>
        </w:rPr>
        <w:t>Хацьківської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rvts9"/>
          <w:bCs/>
          <w:color w:val="000000"/>
          <w:sz w:val="28"/>
          <w:szCs w:val="28"/>
        </w:rPr>
        <w:t>Степанківської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rvts9"/>
          <w:bCs/>
          <w:color w:val="000000"/>
          <w:sz w:val="28"/>
          <w:szCs w:val="28"/>
        </w:rPr>
        <w:t>Голов’ятинської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та </w:t>
      </w:r>
      <w:proofErr w:type="spellStart"/>
      <w:r>
        <w:rPr>
          <w:rStyle w:val="rvts9"/>
          <w:bCs/>
          <w:color w:val="000000"/>
          <w:sz w:val="28"/>
          <w:szCs w:val="28"/>
        </w:rPr>
        <w:t>Залевківської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сільських рад, що утворили </w:t>
      </w:r>
      <w:proofErr w:type="spellStart"/>
      <w:r>
        <w:rPr>
          <w:rStyle w:val="rvts9"/>
          <w:bCs/>
          <w:color w:val="000000"/>
          <w:sz w:val="28"/>
          <w:szCs w:val="28"/>
        </w:rPr>
        <w:t>Степанківську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сільську  територіальну громаду</w:t>
      </w:r>
    </w:p>
    <w:p w:rsidR="00167D05" w:rsidRDefault="00167D05" w:rsidP="00167D05">
      <w:pPr>
        <w:ind w:left="52" w:firstLine="656"/>
        <w:jc w:val="both"/>
        <w:rPr>
          <w:rStyle w:val="rvts9"/>
          <w:bCs/>
          <w:color w:val="000000"/>
          <w:sz w:val="28"/>
          <w:szCs w:val="28"/>
        </w:rPr>
      </w:pPr>
      <w:r>
        <w:rPr>
          <w:rStyle w:val="rvts9"/>
          <w:bCs/>
          <w:color w:val="000000"/>
          <w:sz w:val="28"/>
          <w:szCs w:val="28"/>
        </w:rPr>
        <w:t>Третя</w:t>
      </w:r>
      <w:r>
        <w:rPr>
          <w:rStyle w:val="rvts9"/>
          <w:bCs/>
          <w:color w:val="000000"/>
          <w:sz w:val="28"/>
          <w:szCs w:val="28"/>
        </w:rPr>
        <w:t xml:space="preserve"> зона - в межах сіл Малий </w:t>
      </w:r>
      <w:proofErr w:type="spellStart"/>
      <w:r>
        <w:rPr>
          <w:rStyle w:val="rvts9"/>
          <w:bCs/>
          <w:color w:val="000000"/>
          <w:sz w:val="28"/>
          <w:szCs w:val="28"/>
        </w:rPr>
        <w:t>Бузуків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, Гуляй-Городок, </w:t>
      </w:r>
      <w:proofErr w:type="spellStart"/>
      <w:r>
        <w:rPr>
          <w:rStyle w:val="rvts9"/>
          <w:bCs/>
          <w:color w:val="000000"/>
          <w:sz w:val="28"/>
          <w:szCs w:val="28"/>
        </w:rPr>
        <w:t>Голов’ятине</w:t>
      </w:r>
      <w:proofErr w:type="spellEnd"/>
      <w:r>
        <w:rPr>
          <w:rStyle w:val="rvts9"/>
          <w:bCs/>
          <w:color w:val="000000"/>
          <w:sz w:val="28"/>
          <w:szCs w:val="28"/>
        </w:rPr>
        <w:t xml:space="preserve"> і </w:t>
      </w:r>
      <w:proofErr w:type="spellStart"/>
      <w:r>
        <w:rPr>
          <w:rStyle w:val="rvts9"/>
          <w:bCs/>
          <w:color w:val="000000"/>
          <w:sz w:val="28"/>
          <w:szCs w:val="28"/>
        </w:rPr>
        <w:t>Залевки</w:t>
      </w:r>
      <w:proofErr w:type="spellEnd"/>
      <w:r>
        <w:rPr>
          <w:rStyle w:val="rvts9"/>
          <w:bCs/>
          <w:color w:val="000000"/>
          <w:sz w:val="28"/>
          <w:szCs w:val="28"/>
        </w:rPr>
        <w:t>. "</w:t>
      </w:r>
    </w:p>
    <w:p w:rsidR="00167D05" w:rsidRDefault="00167D05" w:rsidP="00167D0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Оприлюднити дане рішення після затвердження сесією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сільської ради на сайті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сільської територіальної громади (https://stepankivska.gr.org.ua).</w:t>
      </w:r>
    </w:p>
    <w:p w:rsidR="00167D05" w:rsidRDefault="00167D05" w:rsidP="00167D0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>
        <w:rPr>
          <w:color w:val="000000"/>
          <w:sz w:val="28"/>
          <w:szCs w:val="28"/>
          <w:shd w:val="clear" w:color="auto" w:fill="FFFFFF"/>
        </w:rPr>
        <w:t xml:space="preserve">. Секретарю сільської ради забезпечити направлення в установленому порядку копії цього рішення </w:t>
      </w:r>
      <w:r>
        <w:rPr>
          <w:sz w:val="28"/>
          <w:szCs w:val="28"/>
        </w:rPr>
        <w:t>до Черкаського управління Головного управління ДФС в Черкаській області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67D05" w:rsidRDefault="00167D05" w:rsidP="00167D05">
      <w:pPr>
        <w:ind w:left="5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. Дане рішення набуває чинності та вступає в дію з 01 січня 2024 року.</w:t>
      </w:r>
    </w:p>
    <w:p w:rsidR="00167D05" w:rsidRDefault="00167D05" w:rsidP="00167D05">
      <w:pPr>
        <w:ind w:left="5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. 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сільської ради.</w:t>
      </w:r>
    </w:p>
    <w:p w:rsidR="00167D05" w:rsidRDefault="00167D05" w:rsidP="00167D05">
      <w:pPr>
        <w:rPr>
          <w:sz w:val="28"/>
          <w:szCs w:val="28"/>
        </w:rPr>
      </w:pPr>
    </w:p>
    <w:p w:rsidR="00167D05" w:rsidRDefault="00167D05" w:rsidP="00167D05">
      <w:pPr>
        <w:rPr>
          <w:sz w:val="28"/>
          <w:szCs w:val="28"/>
        </w:rPr>
      </w:pPr>
    </w:p>
    <w:p w:rsidR="00167D05" w:rsidRDefault="00167D05" w:rsidP="00167D05">
      <w:pPr>
        <w:jc w:val="both"/>
        <w:rPr>
          <w:rStyle w:val="rvts9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Сільський голова                                                                     Ігор ЧЕКАЛЕНКО</w:t>
      </w:r>
    </w:p>
    <w:p w:rsidR="00167D05" w:rsidRDefault="00167D05" w:rsidP="00167D05"/>
    <w:p w:rsidR="00167D05" w:rsidRDefault="00167D05" w:rsidP="00167D05"/>
    <w:p w:rsidR="00167D05" w:rsidRDefault="00167D05" w:rsidP="00167D05"/>
    <w:p w:rsidR="00167D05" w:rsidRDefault="00167D05" w:rsidP="00167D05"/>
    <w:p w:rsidR="00167D05" w:rsidRDefault="00167D05" w:rsidP="00167D05">
      <w:pPr>
        <w:rPr>
          <w:sz w:val="22"/>
          <w:szCs w:val="22"/>
        </w:rPr>
      </w:pPr>
      <w:r>
        <w:rPr>
          <w:sz w:val="22"/>
          <w:szCs w:val="22"/>
        </w:rPr>
        <w:t>Підготували:</w:t>
      </w:r>
    </w:p>
    <w:p w:rsidR="00167D05" w:rsidRDefault="00167D05" w:rsidP="00167D05">
      <w:pPr>
        <w:rPr>
          <w:sz w:val="22"/>
          <w:szCs w:val="22"/>
        </w:rPr>
      </w:pPr>
    </w:p>
    <w:p w:rsidR="00167D05" w:rsidRDefault="00167D05" w:rsidP="00167D05">
      <w:pPr>
        <w:rPr>
          <w:sz w:val="22"/>
          <w:szCs w:val="22"/>
        </w:rPr>
      </w:pPr>
      <w:r>
        <w:rPr>
          <w:sz w:val="22"/>
          <w:szCs w:val="22"/>
        </w:rPr>
        <w:t xml:space="preserve">Юрисконсульт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Маргарита ТОКОВА</w:t>
      </w:r>
    </w:p>
    <w:p w:rsidR="00167D05" w:rsidRDefault="00167D05" w:rsidP="00167D05">
      <w:pPr>
        <w:rPr>
          <w:sz w:val="22"/>
          <w:szCs w:val="22"/>
        </w:rPr>
      </w:pPr>
      <w:r>
        <w:rPr>
          <w:sz w:val="22"/>
          <w:szCs w:val="22"/>
        </w:rPr>
        <w:t>Голова земельної комісії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Віталій НЕКА</w:t>
      </w:r>
    </w:p>
    <w:p w:rsidR="00167D05" w:rsidRDefault="00167D05" w:rsidP="00167D05">
      <w:pPr>
        <w:rPr>
          <w:sz w:val="22"/>
          <w:szCs w:val="22"/>
        </w:rPr>
      </w:pPr>
      <w:r>
        <w:rPr>
          <w:sz w:val="22"/>
          <w:szCs w:val="22"/>
        </w:rPr>
        <w:t>Начальник відділу земельних відносин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Вікторія МИРОНЧУК</w:t>
      </w:r>
    </w:p>
    <w:p w:rsidR="00167D05" w:rsidRDefault="00167D05" w:rsidP="00167D05"/>
    <w:p w:rsidR="00A21BB5" w:rsidRDefault="00167D05"/>
    <w:sectPr w:rsidR="00A21BB5" w:rsidSect="000836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7D"/>
    <w:rsid w:val="00167D05"/>
    <w:rsid w:val="005A1D7C"/>
    <w:rsid w:val="005F4E7D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167D05"/>
  </w:style>
  <w:style w:type="paragraph" w:styleId="a3">
    <w:name w:val="Balloon Text"/>
    <w:basedOn w:val="a"/>
    <w:link w:val="a4"/>
    <w:uiPriority w:val="99"/>
    <w:semiHidden/>
    <w:unhideWhenUsed/>
    <w:rsid w:val="00167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0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167D05"/>
  </w:style>
  <w:style w:type="paragraph" w:styleId="a3">
    <w:name w:val="Balloon Text"/>
    <w:basedOn w:val="a"/>
    <w:link w:val="a4"/>
    <w:uiPriority w:val="99"/>
    <w:semiHidden/>
    <w:unhideWhenUsed/>
    <w:rsid w:val="00167D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0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2023-05-09T09:39:00Z</dcterms:created>
  <dcterms:modified xsi:type="dcterms:W3CDTF">2023-05-09T09:44:00Z</dcterms:modified>
</cp:coreProperties>
</file>