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52A" w14:textId="77777777" w:rsidR="00E63216" w:rsidRDefault="00E63216" w:rsidP="00E6321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52967A08" w14:textId="77777777" w:rsidR="00E63216" w:rsidRDefault="00E63216" w:rsidP="00E6321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 рішення виконавчого комітету</w:t>
      </w:r>
    </w:p>
    <w:p w14:paraId="71D47393" w14:textId="77777777" w:rsidR="00E63216" w:rsidRDefault="00E63216" w:rsidP="00E6321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№176</w:t>
      </w:r>
    </w:p>
    <w:p w14:paraId="7E62B31A" w14:textId="77777777" w:rsidR="00E63216" w:rsidRDefault="00E63216" w:rsidP="00E632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92EED4E" wp14:editId="7852AEC9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F172" w14:textId="77777777" w:rsidR="00E63216" w:rsidRPr="00FC7402" w:rsidRDefault="00E63216" w:rsidP="00E632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19A465C7" w14:textId="77777777" w:rsidR="00E63216" w:rsidRDefault="00E63216" w:rsidP="00E6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52E14215" w14:textId="77777777" w:rsidR="00E63216" w:rsidRPr="00E8057B" w:rsidRDefault="00E63216" w:rsidP="00E632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6B101B6" w14:textId="77777777" w:rsidR="00E63216" w:rsidRPr="004851FC" w:rsidRDefault="00E63216" w:rsidP="00E6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/ПРОЕКТ/</w:t>
      </w:r>
    </w:p>
    <w:p w14:paraId="6F9B740A" w14:textId="77777777" w:rsidR="00E63216" w:rsidRDefault="00E63216" w:rsidP="00E6321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с. Степанки                             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9BF8411" w14:textId="77777777" w:rsidR="00E63216" w:rsidRDefault="00E63216" w:rsidP="00E632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«Підвищення якості шкільної</w:t>
      </w:r>
    </w:p>
    <w:p w14:paraId="033A5154" w14:textId="77777777" w:rsidR="00E63216" w:rsidRPr="00E50A92" w:rsidRDefault="00E63216" w:rsidP="00E632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природничо-математичної освіти»</w:t>
      </w:r>
      <w:r w:rsidRPr="0056401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6F4EAC20" w14:textId="77777777" w:rsidR="00E63216" w:rsidRDefault="00E63216" w:rsidP="00E6321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382E32B3" w14:textId="77777777" w:rsidR="00E63216" w:rsidRPr="009C5874" w:rsidRDefault="00E63216" w:rsidP="00E6321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 ст.26 та пп.1.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п.3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37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№19-06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«Підвищення якості шкільної природничо-математичної освіти»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5F5BDD29" w14:textId="77777777" w:rsidR="00E63216" w:rsidRDefault="00E63216" w:rsidP="00E6321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404975" w14:textId="77777777" w:rsidR="00E63216" w:rsidRPr="003D0AC4" w:rsidRDefault="00E63216" w:rsidP="00E632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574EE5FE" w14:textId="77777777" w:rsidR="00E63216" w:rsidRDefault="00E63216" w:rsidP="00E632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«Підвищення якості шкільної природничо-математичної освіти» на 2022 рік, згідно додатку.</w:t>
      </w:r>
    </w:p>
    <w:p w14:paraId="08DA2EF9" w14:textId="77777777" w:rsidR="00E63216" w:rsidRDefault="00E63216" w:rsidP="00E632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</w:t>
      </w:r>
    </w:p>
    <w:p w14:paraId="3548B6F0" w14:textId="77777777" w:rsidR="00E63216" w:rsidRDefault="00E63216" w:rsidP="00E63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9EDCAB" w14:textId="77777777" w:rsidR="00E63216" w:rsidRDefault="00E63216" w:rsidP="00E63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8470E7" w14:textId="77777777" w:rsidR="00E63216" w:rsidRDefault="00E63216" w:rsidP="00E63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21EC0D29" w14:textId="77777777" w:rsidR="00E63216" w:rsidRDefault="00E63216" w:rsidP="00E6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7C19D0E" w14:textId="77777777" w:rsidR="00E63216" w:rsidRDefault="00E63216" w:rsidP="00E6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9B32702" w14:textId="77777777" w:rsidR="00E63216" w:rsidRPr="001A3291" w:rsidRDefault="00E63216" w:rsidP="00E632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1A3291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48EC5A8F" w14:textId="77777777" w:rsidR="00E63216" w:rsidRPr="001A3291" w:rsidRDefault="00E63216" w:rsidP="00E632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A3291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1A3291">
        <w:rPr>
          <w:rFonts w:ascii="Times New Roman" w:hAnsi="Times New Roman"/>
          <w:sz w:val="24"/>
          <w:szCs w:val="24"/>
          <w:lang w:val="uk-UA"/>
        </w:rPr>
        <w:t>рішення сесії Степанківської сільської ради</w:t>
      </w:r>
    </w:p>
    <w:p w14:paraId="2E5AE9D4" w14:textId="77777777" w:rsidR="00E63216" w:rsidRPr="001A3291" w:rsidRDefault="00E63216" w:rsidP="00E632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A3291">
        <w:rPr>
          <w:rFonts w:ascii="Times New Roman" w:hAnsi="Times New Roman"/>
          <w:sz w:val="24"/>
          <w:szCs w:val="24"/>
          <w:lang w:val="uk-UA"/>
        </w:rPr>
        <w:t>від 00.00.2022 №00-00/</w:t>
      </w:r>
      <w:r w:rsidRPr="001A3291">
        <w:rPr>
          <w:rFonts w:ascii="Times New Roman" w:hAnsi="Times New Roman"/>
          <w:sz w:val="24"/>
          <w:szCs w:val="24"/>
          <w:lang w:val="en-US"/>
        </w:rPr>
        <w:t>VIII</w:t>
      </w:r>
    </w:p>
    <w:p w14:paraId="70C94799" w14:textId="77777777" w:rsidR="00E63216" w:rsidRPr="001A3291" w:rsidRDefault="00E63216" w:rsidP="00E632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4CCB3C3" w14:textId="77777777" w:rsidR="00E63216" w:rsidRPr="001A3291" w:rsidRDefault="00E63216" w:rsidP="00E632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276"/>
        <w:gridCol w:w="1559"/>
        <w:gridCol w:w="1134"/>
        <w:gridCol w:w="2126"/>
      </w:tblGrid>
      <w:tr w:rsidR="00E63216" w:rsidRPr="001A3291" w14:paraId="7703DA98" w14:textId="77777777" w:rsidTr="006C775B">
        <w:trPr>
          <w:trHeight w:val="11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15B" w14:textId="77777777" w:rsidR="00E63216" w:rsidRPr="001A3291" w:rsidRDefault="00E63216" w:rsidP="006C775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1D875118" w14:textId="77777777" w:rsidR="00E63216" w:rsidRPr="001A3291" w:rsidRDefault="00E63216" w:rsidP="006C775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6B3EC1E2" w14:textId="77777777" w:rsidR="00E63216" w:rsidRPr="001A3291" w:rsidRDefault="00E63216" w:rsidP="006C775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«Підвищення якості шкільної природничо-математичної освіти» на  2022 рік</w:t>
            </w:r>
          </w:p>
          <w:p w14:paraId="61A0F5D5" w14:textId="77777777" w:rsidR="00E63216" w:rsidRPr="001A3291" w:rsidRDefault="00E63216" w:rsidP="006C775B">
            <w:pPr>
              <w:spacing w:after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63216" w:rsidRPr="001A3291" w14:paraId="4AA4BC77" w14:textId="77777777" w:rsidTr="006C7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0D6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7BB0941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1D5ED197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290" w14:textId="77777777" w:rsidR="00E63216" w:rsidRPr="001A3291" w:rsidRDefault="00E63216" w:rsidP="006C775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6BB4DCF" w14:textId="77777777" w:rsidR="00E63216" w:rsidRPr="001A3291" w:rsidRDefault="00E63216" w:rsidP="006C775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E63216" w:rsidRPr="001A3291" w14:paraId="2E89D499" w14:textId="77777777" w:rsidTr="006C7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8E6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00FF56F7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5EB7F92D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D12" w14:textId="77777777" w:rsidR="00E63216" w:rsidRPr="001A3291" w:rsidRDefault="00E63216" w:rsidP="006C775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розвитку та популяризації природничо-математичної освіти у закладах загальної середньої освіти Степанківської територіальної громади</w:t>
            </w:r>
          </w:p>
          <w:p w14:paraId="546B2C28" w14:textId="77777777" w:rsidR="00E63216" w:rsidRPr="001A3291" w:rsidRDefault="00E63216" w:rsidP="006C775B">
            <w:pPr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E63216" w:rsidRPr="001A3291" w14:paraId="4A8F6F5D" w14:textId="77777777" w:rsidTr="006C77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1CB" w14:textId="77777777" w:rsidR="00E63216" w:rsidRPr="001A3291" w:rsidRDefault="00E63216" w:rsidP="006C775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A8AAC23" w14:textId="77777777" w:rsidR="00E63216" w:rsidRPr="001A3291" w:rsidRDefault="00E63216" w:rsidP="006C775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74FA8A10" w14:textId="77777777" w:rsidR="00E63216" w:rsidRPr="001A3291" w:rsidRDefault="00E63216" w:rsidP="006C775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3216" w:rsidRPr="001A3291" w14:paraId="213A5703" w14:textId="77777777" w:rsidTr="006C775B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DD2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E74F5BB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5803C4E6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DB6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E63216" w:rsidRPr="001A3291" w14:paraId="33AE24E9" w14:textId="77777777" w:rsidTr="006C775B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40A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8514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3B1E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A247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2FFF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17F0" w14:textId="77777777" w:rsidR="00E63216" w:rsidRPr="001A3291" w:rsidRDefault="00E63216" w:rsidP="006C77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E63216" w:rsidRPr="00E63216" w14:paraId="1E7EC770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680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DC3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C79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55C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75F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643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Освітня субвенція з державного бюджету, кошти бюджету Степанківської сільської територіальної громади та інші джерела фінансування</w:t>
            </w:r>
          </w:p>
        </w:tc>
      </w:tr>
      <w:tr w:rsidR="00E63216" w:rsidRPr="001A3291" w14:paraId="6C4424C4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5C8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5B6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FD5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EDC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567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533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E63216" w:rsidRPr="001A3291" w14:paraId="405979BA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8BC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C91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053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E7D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F30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CBE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E63216" w:rsidRPr="001A3291" w14:paraId="11DD6A63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334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Підготовка та підвищення кваліфікації </w:t>
            </w: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педагогічних працівників.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B8A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B52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8A0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90A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23A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Кошти бюджету Степанківської </w:t>
            </w: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сільської територіальної громади</w:t>
            </w:r>
          </w:p>
        </w:tc>
      </w:tr>
      <w:tr w:rsidR="00E63216" w:rsidRPr="001A3291" w14:paraId="2D93B41C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E18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Участь педагогічних працівників у заходах (семінари, тренінги, практикуми, конференції тощо) для забезпечення неперервної післядипломної педагогічної освіти.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F86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473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F2B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1B8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C86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E63216" w:rsidRPr="001A3291" w14:paraId="0C88CD31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183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22E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C0A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7B7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986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5E8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3B176BA1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63216" w:rsidRPr="001A3291" w14:paraId="1D800AC7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223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18A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977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E5E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AF8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873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Кошти бюджету Степанківської сільської територіальної громади</w:t>
            </w:r>
          </w:p>
        </w:tc>
      </w:tr>
      <w:tr w:rsidR="00E63216" w:rsidRPr="001A3291" w14:paraId="65F9140A" w14:textId="77777777" w:rsidTr="006C775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435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CC4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32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167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C2F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0A7" w14:textId="77777777" w:rsidR="00E63216" w:rsidRPr="001A3291" w:rsidRDefault="00E63216" w:rsidP="006C77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EBF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C5AE467" w14:textId="77777777" w:rsidR="00E63216" w:rsidRPr="001A3291" w:rsidRDefault="00E63216" w:rsidP="006C7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A329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14:paraId="1F82AE8F" w14:textId="77777777" w:rsidR="00E63216" w:rsidRPr="001A3291" w:rsidRDefault="00E63216" w:rsidP="00E63216">
      <w:pPr>
        <w:spacing w:after="0" w:line="240" w:lineRule="auto"/>
        <w:rPr>
          <w:rFonts w:eastAsia="Calibri"/>
          <w:lang w:val="uk-UA"/>
        </w:rPr>
      </w:pPr>
    </w:p>
    <w:p w14:paraId="736F5F24" w14:textId="77777777" w:rsidR="00E63216" w:rsidRPr="001A3291" w:rsidRDefault="00E63216" w:rsidP="00E63216">
      <w:pPr>
        <w:rPr>
          <w:rFonts w:ascii="Times New Roman" w:eastAsia="Calibri" w:hAnsi="Times New Roman"/>
          <w:sz w:val="24"/>
          <w:szCs w:val="24"/>
          <w:lang w:val="uk-UA"/>
        </w:rPr>
      </w:pPr>
      <w:r w:rsidRPr="001A3291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12A1D4F4" w14:textId="77777777" w:rsidR="00E63216" w:rsidRPr="001A3291" w:rsidRDefault="00E63216" w:rsidP="00E63216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1A3291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65734544" w14:textId="77777777" w:rsidR="00E63216" w:rsidRPr="001A3291" w:rsidRDefault="00E63216" w:rsidP="00E63216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1A3291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</w:t>
      </w:r>
    </w:p>
    <w:p w14:paraId="12353D7D" w14:textId="77777777" w:rsidR="00E63216" w:rsidRPr="001A3291" w:rsidRDefault="00E63216" w:rsidP="00E63216">
      <w:pPr>
        <w:rPr>
          <w:lang w:val="uk-UA"/>
        </w:rPr>
      </w:pPr>
    </w:p>
    <w:p w14:paraId="1F849A96" w14:textId="77777777" w:rsidR="00E63216" w:rsidRPr="001A3291" w:rsidRDefault="00E63216" w:rsidP="00E63216">
      <w:pPr>
        <w:rPr>
          <w:rFonts w:ascii="Times New Roman" w:eastAsia="Calibri" w:hAnsi="Times New Roman"/>
          <w:sz w:val="24"/>
          <w:szCs w:val="24"/>
          <w:lang w:val="uk-UA"/>
        </w:rPr>
      </w:pPr>
      <w:r w:rsidRPr="001A3291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</w:p>
    <w:p w14:paraId="3D2B2C7B" w14:textId="77777777" w:rsidR="00E63216" w:rsidRPr="001A3291" w:rsidRDefault="00E63216" w:rsidP="00E63216"/>
    <w:p w14:paraId="3C56492B" w14:textId="77777777" w:rsidR="00E63216" w:rsidRPr="001A3291" w:rsidRDefault="00E63216" w:rsidP="00E63216">
      <w:pPr>
        <w:tabs>
          <w:tab w:val="left" w:pos="259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5541D255" w14:textId="77777777" w:rsidR="00E63216" w:rsidRDefault="00E63216" w:rsidP="00E63216">
      <w:pPr>
        <w:tabs>
          <w:tab w:val="left" w:pos="2595"/>
        </w:tabs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2B3498CC" w14:textId="77777777" w:rsidR="0073072E" w:rsidRDefault="0073072E"/>
    <w:sectPr w:rsidR="007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2EE2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88"/>
    <w:rsid w:val="0073072E"/>
    <w:rsid w:val="00D61088"/>
    <w:rsid w:val="00E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2B56-3FD7-44FC-9268-4259BA2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1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2023-05-01T06:22:00Z</dcterms:created>
  <dcterms:modified xsi:type="dcterms:W3CDTF">2023-05-01T06:22:00Z</dcterms:modified>
</cp:coreProperties>
</file>