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2415" w14:textId="77777777" w:rsidR="00546ED2" w:rsidRDefault="00546ED2" w:rsidP="00546ED2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</w:p>
    <w:p w14:paraId="6DB5F678" w14:textId="77777777" w:rsidR="00546ED2" w:rsidRDefault="00546ED2" w:rsidP="00546ED2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 рішення виконавчого комітету</w:t>
      </w:r>
    </w:p>
    <w:p w14:paraId="78BD4650" w14:textId="77777777" w:rsidR="00546ED2" w:rsidRDefault="00546ED2" w:rsidP="00546ED2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01.12.2022 року №180</w:t>
      </w:r>
    </w:p>
    <w:p w14:paraId="103F5A7C" w14:textId="77777777" w:rsidR="00546ED2" w:rsidRDefault="00546ED2" w:rsidP="00546ED2">
      <w:pPr>
        <w:tabs>
          <w:tab w:val="left" w:pos="301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697EFE6B" w14:textId="77777777" w:rsidR="00546ED2" w:rsidRDefault="00546ED2" w:rsidP="00546E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2B8B754" wp14:editId="635DEFB3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331A0" w14:textId="77777777" w:rsidR="00546ED2" w:rsidRPr="00FC7402" w:rsidRDefault="00546ED2" w:rsidP="00546E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57C3B066" w14:textId="77777777" w:rsidR="00546ED2" w:rsidRDefault="00546ED2" w:rsidP="00546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восьмого скликання</w:t>
      </w:r>
    </w:p>
    <w:p w14:paraId="09531AC4" w14:textId="77777777" w:rsidR="00546ED2" w:rsidRPr="004851FC" w:rsidRDefault="00546ED2" w:rsidP="00546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/ПРОЕКТ/</w:t>
      </w:r>
    </w:p>
    <w:p w14:paraId="54367F48" w14:textId="77777777" w:rsidR="00546ED2" w:rsidRDefault="00546ED2" w:rsidP="00546ED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49BDE232" w14:textId="77777777" w:rsidR="00546ED2" w:rsidRPr="00E8057B" w:rsidRDefault="00546ED2" w:rsidP="00546ED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№30-00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</w:p>
    <w:p w14:paraId="149B675E" w14:textId="77777777" w:rsidR="00546ED2" w:rsidRPr="00E8057B" w:rsidRDefault="00546ED2" w:rsidP="00546ED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 Степанки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</w:p>
    <w:p w14:paraId="28D93467" w14:textId="77777777" w:rsidR="00546ED2" w:rsidRDefault="00546ED2" w:rsidP="00546E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2FBC1030" w14:textId="77777777" w:rsidR="00546ED2" w:rsidRDefault="00546ED2" w:rsidP="00546E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програми </w:t>
      </w:r>
    </w:p>
    <w:p w14:paraId="5CC5C0D3" w14:textId="77777777" w:rsidR="00546ED2" w:rsidRPr="00C86284" w:rsidRDefault="00546ED2" w:rsidP="00546E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«Розвиток туризму» 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14:paraId="2983521E" w14:textId="77777777" w:rsidR="00546ED2" w:rsidRDefault="00546ED2" w:rsidP="00546ED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2DF21F38" w14:textId="77777777" w:rsidR="00546ED2" w:rsidRPr="009C5874" w:rsidRDefault="00546ED2" w:rsidP="00546ED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19140C">
        <w:rPr>
          <w:rFonts w:ascii="Times New Roman" w:hAnsi="Times New Roman"/>
          <w:sz w:val="28"/>
          <w:szCs w:val="28"/>
          <w:lang w:val="uk-UA"/>
        </w:rPr>
        <w:t xml:space="preserve">п.22, 27 ч.1. ст.26,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підпункту 1 пункту а статті 32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>туризм</w:t>
      </w:r>
      <w:r w:rsidRPr="00E8057B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рішення сесії Степанківської сільської ради від 03.12.2021 №02-15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«Розвиток туризму в Степанківській територіальній громаді» на 2022 рік»,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>відділу освіти, культури, туризму, молоді, спорту та охорони здоров’я виконавчого комітету Степанківської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я Степанківської сільської ради</w:t>
      </w:r>
    </w:p>
    <w:p w14:paraId="3CA46469" w14:textId="77777777" w:rsidR="00546ED2" w:rsidRPr="003D0AC4" w:rsidRDefault="00546ED2" w:rsidP="00546ED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9ACEB69" w14:textId="77777777" w:rsidR="00546ED2" w:rsidRDefault="00546ED2" w:rsidP="00546ED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«Розвиток туризму в Степанківській територіальній громаді» на 2022 рік, згідно додатку.</w:t>
      </w:r>
    </w:p>
    <w:p w14:paraId="49CFD7C3" w14:textId="77777777" w:rsidR="00546ED2" w:rsidRDefault="00546ED2" w:rsidP="00546ED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>передження конфлікту інтересів Степанківської сільської ради</w:t>
      </w:r>
    </w:p>
    <w:p w14:paraId="45952BA8" w14:textId="77777777" w:rsidR="00546ED2" w:rsidRDefault="00546ED2" w:rsidP="00546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B8A161" w14:textId="77777777" w:rsidR="00546ED2" w:rsidRDefault="00546ED2" w:rsidP="00546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13B571" w14:textId="77777777" w:rsidR="00546ED2" w:rsidRDefault="00546ED2" w:rsidP="00546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33249A86" w14:textId="77777777" w:rsidR="00546ED2" w:rsidRDefault="00546ED2" w:rsidP="0054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E48E4DE" w14:textId="77777777" w:rsidR="00546ED2" w:rsidRDefault="00546ED2" w:rsidP="00546ED2">
      <w:pPr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6D80D87C" w14:textId="77777777" w:rsidR="00546ED2" w:rsidRPr="0080662C" w:rsidRDefault="00546ED2" w:rsidP="00546E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0662C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14:paraId="02FE03F6" w14:textId="77777777" w:rsidR="00546ED2" w:rsidRPr="0080662C" w:rsidRDefault="00546ED2" w:rsidP="00546E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0662C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80662C">
        <w:rPr>
          <w:rFonts w:ascii="Times New Roman" w:hAnsi="Times New Roman"/>
          <w:sz w:val="24"/>
          <w:szCs w:val="24"/>
          <w:lang w:val="uk-UA"/>
        </w:rPr>
        <w:t>рішення сесії Степанківської сільської ради</w:t>
      </w:r>
    </w:p>
    <w:p w14:paraId="65EAB208" w14:textId="77777777" w:rsidR="00546ED2" w:rsidRPr="0080662C" w:rsidRDefault="00546ED2" w:rsidP="00546ED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80662C">
        <w:rPr>
          <w:rFonts w:ascii="Times New Roman" w:hAnsi="Times New Roman"/>
          <w:sz w:val="24"/>
          <w:szCs w:val="24"/>
          <w:lang w:val="uk-UA"/>
        </w:rPr>
        <w:t>від 00.00.2022 №00-00/</w:t>
      </w:r>
      <w:r w:rsidRPr="0080662C"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1"/>
        <w:gridCol w:w="443"/>
        <w:gridCol w:w="1276"/>
        <w:gridCol w:w="1276"/>
        <w:gridCol w:w="1559"/>
        <w:gridCol w:w="1418"/>
        <w:gridCol w:w="1984"/>
      </w:tblGrid>
      <w:tr w:rsidR="00546ED2" w:rsidRPr="0080662C" w14:paraId="6283B17F" w14:textId="77777777" w:rsidTr="00AF0533">
        <w:trPr>
          <w:trHeight w:val="112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98D" w14:textId="77777777" w:rsidR="00546ED2" w:rsidRPr="0080662C" w:rsidRDefault="00546ED2" w:rsidP="00AF05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208D259A" w14:textId="77777777" w:rsidR="00546ED2" w:rsidRPr="0080662C" w:rsidRDefault="00546ED2" w:rsidP="00AF05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61E856B1" w14:textId="77777777" w:rsidR="00546ED2" w:rsidRPr="0080662C" w:rsidRDefault="00546ED2" w:rsidP="00AF05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«Розвиток туризму в Степанківській територіальній громаді» на 2022 рік</w:t>
            </w:r>
          </w:p>
          <w:p w14:paraId="2952A4A9" w14:textId="77777777" w:rsidR="00546ED2" w:rsidRPr="0080662C" w:rsidRDefault="00546ED2" w:rsidP="00AF0533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546ED2" w:rsidRPr="0080662C" w14:paraId="70697116" w14:textId="77777777" w:rsidTr="00AF0533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47A0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6F1B3F1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Виконавець</w:t>
            </w:r>
          </w:p>
          <w:p w14:paraId="11911745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6911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546ED2" w:rsidRPr="0080662C" w14:paraId="761D2631" w14:textId="77777777" w:rsidTr="00AF0533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6E0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52588D8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Мета</w:t>
            </w:r>
          </w:p>
          <w:p w14:paraId="4BFFAC85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534B" w14:textId="77777777" w:rsidR="00546ED2" w:rsidRPr="0080662C" w:rsidRDefault="00546ED2" w:rsidP="00AF0533">
            <w:pPr>
              <w:shd w:val="clear" w:color="auto" w:fill="FFFFFF"/>
              <w:spacing w:line="305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66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Забезпечення ефективного використання всіх туристичних ресурсів задля підвищення соціально-економічного рівня громади, створення належних умов для розвитку туризму в громаді, залучення інвестицій, здійснення заходів, спрямованих на розбудову туристичної інфраструктури громади, а також створення позитивного іміджу громади. </w:t>
            </w:r>
          </w:p>
          <w:p w14:paraId="17AA2A15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546ED2" w:rsidRPr="0080662C" w14:paraId="6E68A322" w14:textId="77777777" w:rsidTr="00AF0533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957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108BFC0B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6550F8E0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6ED2" w:rsidRPr="0080662C" w14:paraId="75072910" w14:textId="77777777" w:rsidTr="00AF0533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2F8F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28F8637B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Завдання</w:t>
            </w:r>
          </w:p>
          <w:p w14:paraId="5C0D3A0D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F2CC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546ED2" w:rsidRPr="0080662C" w14:paraId="4C84D6AD" w14:textId="77777777" w:rsidTr="00AF0533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4A6B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C229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902F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4D7D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9C43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86BD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546ED2" w:rsidRPr="0080662C" w14:paraId="6C2426D3" w14:textId="77777777" w:rsidTr="00AF053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98C5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Розробка, в межах території громади, туристично-екскурсійних маршрутів, їх обстеження та здійснення інформаційного супроводу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82F4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5C3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961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946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16DF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546ED2" w:rsidRPr="0080662C" w14:paraId="17A44E0D" w14:textId="77777777" w:rsidTr="00AF053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673C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Придбання туристичного спорядження, медичних препаратів, продуктів харчування тощо, необхідних для </w:t>
            </w: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lastRenderedPageBreak/>
              <w:t xml:space="preserve">використання у туристичних походах, в організації тренувань, проведенні змагань та участі у змаганнях різного рівня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48EF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AE06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F4AC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1D1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5C4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80662C">
              <w:rPr>
                <w:rFonts w:ascii="Times New Roman" w:hAnsi="Times New Roman"/>
                <w:sz w:val="24"/>
                <w:szCs w:val="24"/>
              </w:rPr>
              <w:t xml:space="preserve">юджет Степанківської територіальної громади, інші джерела фінансування не </w:t>
            </w:r>
            <w:r w:rsidRPr="0080662C">
              <w:rPr>
                <w:rFonts w:ascii="Times New Roman" w:hAnsi="Times New Roman"/>
                <w:sz w:val="24"/>
                <w:szCs w:val="24"/>
              </w:rPr>
              <w:lastRenderedPageBreak/>
              <w:t>заборонені законодавством</w:t>
            </w:r>
          </w:p>
        </w:tc>
      </w:tr>
      <w:tr w:rsidR="00546ED2" w:rsidRPr="0080662C" w14:paraId="0A2BAFC8" w14:textId="77777777" w:rsidTr="00AF053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0724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lastRenderedPageBreak/>
              <w:t>Організація фестивалів та тематичних ярмарок, екскурсій для творчо-обдарованих дітей (молоді), придбання, виготовлення  тимчасових споруд, обладнання, матеріалів для їх проведення.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AF52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BF4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E33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D36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C90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662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80662C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6ED2" w:rsidRPr="0080662C" w14:paraId="4FE1C66A" w14:textId="77777777" w:rsidTr="00AF053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95D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Організація краєзнавчої та дослідницької роботи, участь в краєзнавчих заходах, вивчення історії населених пунктів Степанківської ТГ,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76FC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EFD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7A6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00B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3FD6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546ED2" w:rsidRPr="0080662C" w14:paraId="480C59E1" w14:textId="77777777" w:rsidTr="00AF053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A9E6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Виготовлення, розробка, придбання поліграфічної, рекламно-інформаційної, туристичної продукції  про можливості Степанківської  територіальної громади в галузі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AC7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669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61E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426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740A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80662C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546ED2" w:rsidRPr="0080662C" w14:paraId="66AE8ED2" w14:textId="77777777" w:rsidTr="00AF0533">
        <w:trPr>
          <w:trHeight w:val="25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A10" w14:textId="77777777" w:rsidR="00546ED2" w:rsidRPr="0080662C" w:rsidRDefault="00546ED2" w:rsidP="00AF0533">
            <w:pPr>
              <w:spacing w:before="285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Налагодження співпраця з краєзнавцями, громадськими організаціями та об’єднаннями, фондами, які займаються  створен-</w:t>
            </w: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lastRenderedPageBreak/>
              <w:t>ням туристичного продукту та популяризацією туристично-екскурсійної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EBCF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6A5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D148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569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989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546ED2" w:rsidRPr="0080662C" w14:paraId="7DEB090A" w14:textId="77777777" w:rsidTr="00AF0533">
        <w:trPr>
          <w:trHeight w:val="3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504" w14:textId="77777777" w:rsidR="00546ED2" w:rsidRPr="0080662C" w:rsidRDefault="00546ED2" w:rsidP="00AF0533">
            <w:pPr>
              <w:spacing w:before="285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Розміщення в обласних та місцевих ЗМІ статей з популяризації внутрішнього туризму, історико-культурної спадщини, та сприяння забезпеченню їх відповідними матеріалами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56C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0FA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F1F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DA7E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2A3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546ED2" w:rsidRPr="0080662C" w14:paraId="74ABD09D" w14:textId="77777777" w:rsidTr="00AF0533">
        <w:trPr>
          <w:trHeight w:val="3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CD1" w14:textId="77777777" w:rsidR="00546ED2" w:rsidRPr="0080662C" w:rsidRDefault="00546ED2" w:rsidP="00AF0533">
            <w:pPr>
              <w:spacing w:before="285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Постійне висвітлення та оновлення інформації в мережі Інтернет про заплановані та проведені                          трустичні заходи на території  громади та перспективні плани щодо роботи в галузі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541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499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E16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6EE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021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546ED2" w:rsidRPr="0080662C" w14:paraId="5CD9C98E" w14:textId="77777777" w:rsidTr="00AF0533">
        <w:trPr>
          <w:trHeight w:val="3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656" w14:textId="77777777" w:rsidR="00546ED2" w:rsidRPr="0080662C" w:rsidRDefault="00546ED2" w:rsidP="00AF0533">
            <w:pPr>
              <w:spacing w:before="285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Залучення  учнівської та студентської молоді до природоохоронних та екологічних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276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E06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F1E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450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8E9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546ED2" w:rsidRPr="0080662C" w14:paraId="7CDF4DC3" w14:textId="77777777" w:rsidTr="00AF0533">
        <w:trPr>
          <w:trHeight w:val="3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309E" w14:textId="77777777" w:rsidR="00546ED2" w:rsidRPr="0080662C" w:rsidRDefault="00546ED2" w:rsidP="00AF0533">
            <w:pPr>
              <w:spacing w:before="285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Розвиток спортивної інфраструктури, зокрема, облаштування  маршрутів з подоланням перешкод, спортивного орієнтування, інших </w:t>
            </w: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lastRenderedPageBreak/>
              <w:t>видів спорту, в т.ч. спортивного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3AF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297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F4D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2DF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F44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546ED2" w:rsidRPr="0080662C" w14:paraId="334A783A" w14:textId="77777777" w:rsidTr="00AF0533">
        <w:trPr>
          <w:trHeight w:val="3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3EC8" w14:textId="77777777" w:rsidR="00546ED2" w:rsidRPr="0080662C" w:rsidRDefault="00546ED2" w:rsidP="00AF0533">
            <w:pPr>
              <w:spacing w:before="285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Створення бази даних приватних садиб громади, що мають потенціал з надання послуг гостинності або надають такі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4BC3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7CC" w14:textId="77777777" w:rsidR="00546ED2" w:rsidRPr="0080662C" w:rsidRDefault="00546ED2" w:rsidP="00AF0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A2C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B9C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2CD" w14:textId="77777777" w:rsidR="00546ED2" w:rsidRPr="0080662C" w:rsidRDefault="00546ED2" w:rsidP="00AF053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662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</w:tbl>
    <w:p w14:paraId="4AF3162C" w14:textId="77777777" w:rsidR="00546ED2" w:rsidRPr="0080662C" w:rsidRDefault="00546ED2" w:rsidP="00546ED2">
      <w:pPr>
        <w:jc w:val="both"/>
        <w:rPr>
          <w:lang w:val="uk-UA"/>
        </w:rPr>
      </w:pPr>
    </w:p>
    <w:p w14:paraId="6AA66C4D" w14:textId="77777777" w:rsidR="00546ED2" w:rsidRPr="0080662C" w:rsidRDefault="00546ED2" w:rsidP="00546ED2">
      <w:pPr>
        <w:rPr>
          <w:rFonts w:ascii="Times New Roman" w:eastAsia="Calibri" w:hAnsi="Times New Roman"/>
          <w:sz w:val="24"/>
          <w:szCs w:val="24"/>
          <w:lang w:val="uk-UA"/>
        </w:rPr>
      </w:pPr>
      <w:r w:rsidRPr="0080662C">
        <w:rPr>
          <w:rFonts w:ascii="Times New Roman" w:eastAsia="Calibri" w:hAnsi="Times New Roman"/>
          <w:sz w:val="24"/>
          <w:szCs w:val="24"/>
          <w:lang w:val="uk-UA"/>
        </w:rPr>
        <w:t>30.11.2022 р.</w:t>
      </w:r>
    </w:p>
    <w:p w14:paraId="0D95A968" w14:textId="77777777" w:rsidR="00546ED2" w:rsidRPr="0080662C" w:rsidRDefault="00546ED2" w:rsidP="00546ED2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80662C">
        <w:rPr>
          <w:rFonts w:ascii="Times New Roman" w:eastAsia="Calibri" w:hAnsi="Times New Roman"/>
          <w:sz w:val="24"/>
          <w:szCs w:val="24"/>
          <w:lang w:val="uk-UA"/>
        </w:rPr>
        <w:t>Виконавець:    Яна КУЛИК   ______________</w:t>
      </w:r>
    </w:p>
    <w:p w14:paraId="4190AFAE" w14:textId="77777777" w:rsidR="00546ED2" w:rsidRPr="0080662C" w:rsidRDefault="00546ED2" w:rsidP="00546ED2">
      <w:pPr>
        <w:spacing w:after="0" w:line="240" w:lineRule="auto"/>
      </w:pPr>
      <w:r w:rsidRPr="0080662C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66B08930" w14:textId="77777777" w:rsidR="00546ED2" w:rsidRPr="0080662C" w:rsidRDefault="00546ED2" w:rsidP="00546ED2"/>
    <w:p w14:paraId="1D8BF49F" w14:textId="77777777" w:rsidR="00546ED2" w:rsidRPr="0080662C" w:rsidRDefault="00546ED2" w:rsidP="00546ED2">
      <w:pPr>
        <w:jc w:val="both"/>
        <w:rPr>
          <w:lang w:val="uk-UA"/>
        </w:rPr>
      </w:pPr>
    </w:p>
    <w:p w14:paraId="1D3426BF" w14:textId="77777777" w:rsidR="00546ED2" w:rsidRPr="0080662C" w:rsidRDefault="00546ED2" w:rsidP="00546ED2">
      <w:pPr>
        <w:tabs>
          <w:tab w:val="left" w:pos="301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74BF1C97" w14:textId="77777777" w:rsidR="00546ED2" w:rsidRDefault="00546ED2" w:rsidP="00546ED2">
      <w:pPr>
        <w:tabs>
          <w:tab w:val="left" w:pos="301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43CB78E" w14:textId="77777777" w:rsidR="00B07D94" w:rsidRDefault="00B07D94"/>
    <w:sectPr w:rsidR="00B0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025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84"/>
    <w:rsid w:val="00546ED2"/>
    <w:rsid w:val="005A2E84"/>
    <w:rsid w:val="00B0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8EDF3-C742-41A9-9299-4220E49C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E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D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4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2023-05-01T06:34:00Z</dcterms:created>
  <dcterms:modified xsi:type="dcterms:W3CDTF">2023-05-01T06:34:00Z</dcterms:modified>
</cp:coreProperties>
</file>