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29" w:rsidRDefault="00B90129" w:rsidP="00B90129">
      <w:pPr>
        <w:jc w:val="right"/>
        <w:rPr>
          <w:color w:val="000000"/>
          <w:sz w:val="28"/>
          <w:szCs w:val="28"/>
        </w:rPr>
      </w:pPr>
    </w:p>
    <w:p w:rsidR="00B90129" w:rsidRDefault="00B90129" w:rsidP="00B9012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29" w:rsidRDefault="00B90129" w:rsidP="00B90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:rsidR="00B90129" w:rsidRDefault="00B90129" w:rsidP="00B90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Тридцять четверта сесія восьмого скликання</w:t>
      </w:r>
    </w:p>
    <w:p w:rsidR="00B90129" w:rsidRDefault="00B90129" w:rsidP="00B90129">
      <w:pPr>
        <w:ind w:left="283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РІШЕННЯ</w:t>
      </w:r>
    </w:p>
    <w:p w:rsidR="00B90129" w:rsidRDefault="00B90129" w:rsidP="00B90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/ПРОЄКТ/</w:t>
      </w:r>
    </w:p>
    <w:p w:rsidR="00B90129" w:rsidRDefault="00B90129" w:rsidP="00B901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00.00.2023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№00-00/VIII</w:t>
      </w:r>
    </w:p>
    <w:p w:rsidR="00B90129" w:rsidRDefault="00B90129" w:rsidP="00B90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Степанки</w:t>
      </w:r>
    </w:p>
    <w:p w:rsidR="00B90129" w:rsidRDefault="00B90129" w:rsidP="00B90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встановлення ставок орендної плати</w:t>
      </w:r>
    </w:p>
    <w:p w:rsidR="00B90129" w:rsidRDefault="00B90129" w:rsidP="00B901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земельні ділянки </w:t>
      </w:r>
    </w:p>
    <w:p w:rsidR="00B90129" w:rsidRDefault="00B90129" w:rsidP="00B9012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24 частини 1 статті 26, статті 69 Закону України «Про місцеве самоврядування в Україні», підпункту 12.3.8 </w:t>
      </w:r>
      <w:bookmarkStart w:id="0" w:name="n7"/>
      <w:bookmarkEnd w:id="0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"https://zakon.rada.gov.ua/laws/show/2755-17" \l "n237" \t "_blank" </w:instrText>
      </w:r>
      <w:r>
        <w:rPr>
          <w:sz w:val="28"/>
          <w:szCs w:val="28"/>
        </w:rPr>
        <w:fldChar w:fldCharType="separate"/>
      </w:r>
      <w:r>
        <w:rPr>
          <w:rStyle w:val="a3"/>
          <w:sz w:val="28"/>
          <w:szCs w:val="28"/>
        </w:rPr>
        <w:t>пункту 12.3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статті 12, статті 288, статті 289 </w:t>
      </w:r>
      <w:r>
        <w:rPr>
          <w:color w:val="000000"/>
          <w:sz w:val="28"/>
          <w:szCs w:val="28"/>
        </w:rPr>
        <w:t xml:space="preserve">Податкового Кодексу України, Закону України «Про оренду землі», </w:t>
      </w:r>
      <w:r>
        <w:rPr>
          <w:sz w:val="28"/>
          <w:szCs w:val="28"/>
        </w:rPr>
        <w:t xml:space="preserve">Закону України від 24.03.2022 № 2142-IX «Про внесення змін до Податкового кодексу України та інших законодавчих актів України щодо вдосконалення законодавства на період дії воєнного стану», </w:t>
      </w:r>
      <w:r>
        <w:rPr>
          <w:color w:val="000000"/>
          <w:sz w:val="28"/>
          <w:szCs w:val="28"/>
        </w:rPr>
        <w:t xml:space="preserve">з метою забезпечення наповнення бюджету </w:t>
      </w:r>
      <w:proofErr w:type="spellStart"/>
      <w:r>
        <w:rPr>
          <w:color w:val="000000"/>
          <w:sz w:val="28"/>
          <w:szCs w:val="28"/>
        </w:rPr>
        <w:t>Степанківської</w:t>
      </w:r>
      <w:proofErr w:type="spellEnd"/>
      <w:r>
        <w:rPr>
          <w:color w:val="000000"/>
          <w:sz w:val="28"/>
          <w:szCs w:val="28"/>
        </w:rPr>
        <w:t xml:space="preserve"> сільської територіальної громади</w:t>
      </w:r>
      <w:r w:rsidR="005818B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 погодженням з постійною комісією з питань фінансів, бюджету, планування, соціально-економічного розвитку, інвестицій та міжнародного співробітництва </w:t>
      </w:r>
      <w:proofErr w:type="spellStart"/>
      <w:r>
        <w:rPr>
          <w:color w:val="000000"/>
          <w:sz w:val="28"/>
          <w:szCs w:val="28"/>
        </w:rPr>
        <w:t>Степанківської</w:t>
      </w:r>
      <w:proofErr w:type="spellEnd"/>
      <w:r>
        <w:rPr>
          <w:color w:val="000000"/>
          <w:sz w:val="28"/>
          <w:szCs w:val="28"/>
        </w:rPr>
        <w:t xml:space="preserve"> сільської ради, сесія </w:t>
      </w:r>
      <w:proofErr w:type="spellStart"/>
      <w:r>
        <w:rPr>
          <w:color w:val="000000"/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сільської ради </w:t>
      </w:r>
    </w:p>
    <w:p w:rsidR="00B90129" w:rsidRDefault="00B90129" w:rsidP="00B90129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</w:p>
    <w:p w:rsidR="00B90129" w:rsidRDefault="00B90129" w:rsidP="00B9012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Встановити на території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сільської територіальної громади ставки орендної плати на земельні ділянки (додаток 1).  </w:t>
      </w:r>
    </w:p>
    <w:p w:rsidR="00B90129" w:rsidRDefault="00B90129" w:rsidP="00B9012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Оприлюднити дане рішення після затвердження сесією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сільської ради на сайті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сільської територіальної громади (https://stepankivska.gr.org.ua).</w:t>
      </w:r>
    </w:p>
    <w:p w:rsidR="00B90129" w:rsidRDefault="00B90129" w:rsidP="00B9012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Секретарю сільської ради забезпечити направлення в установленому порядку копії цього рішення </w:t>
      </w:r>
      <w:r>
        <w:rPr>
          <w:sz w:val="28"/>
          <w:szCs w:val="28"/>
        </w:rPr>
        <w:t>до Черкаського управління Головного управління ДФС в Черкаській області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90129" w:rsidRDefault="00B90129" w:rsidP="00B9012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Дане рішення набуває чинності та вступає в дію з 01 січня 2024 року.</w:t>
      </w:r>
    </w:p>
    <w:p w:rsidR="00B90129" w:rsidRDefault="00B90129" w:rsidP="00B9012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sma-NO"/>
        </w:rPr>
        <w:t xml:space="preserve">Відповідальність за правильність обчислення, повноту справляння і своєчасність сплати або перерахування до бюджету Степанківської </w:t>
      </w:r>
      <w:r>
        <w:rPr>
          <w:sz w:val="28"/>
          <w:szCs w:val="28"/>
        </w:rPr>
        <w:t xml:space="preserve">сільської </w:t>
      </w:r>
      <w:r>
        <w:rPr>
          <w:sz w:val="28"/>
          <w:szCs w:val="28"/>
          <w:lang w:val="sma-NO"/>
        </w:rPr>
        <w:t xml:space="preserve">територіальної громади </w:t>
      </w:r>
      <w:r>
        <w:rPr>
          <w:sz w:val="28"/>
          <w:szCs w:val="28"/>
        </w:rPr>
        <w:t>орендної плати за земельні ділянки</w:t>
      </w:r>
      <w:r>
        <w:rPr>
          <w:sz w:val="28"/>
          <w:szCs w:val="28"/>
          <w:lang w:val="sma-NO"/>
        </w:rPr>
        <w:t xml:space="preserve"> покладається на платників</w:t>
      </w:r>
      <w:r>
        <w:rPr>
          <w:sz w:val="28"/>
          <w:szCs w:val="28"/>
        </w:rPr>
        <w:t>.</w:t>
      </w:r>
    </w:p>
    <w:p w:rsidR="00B90129" w:rsidRPr="00C246E2" w:rsidRDefault="00B90129" w:rsidP="00C246E2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Контроль 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сільської ради.</w:t>
      </w:r>
    </w:p>
    <w:p w:rsidR="00B90129" w:rsidRDefault="00B90129" w:rsidP="00B9012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Сільський голова                                                                    Ігор ЧЕКАЛЕНКО</w:t>
      </w:r>
    </w:p>
    <w:p w:rsidR="00C246E2" w:rsidRPr="00C246E2" w:rsidRDefault="00C246E2" w:rsidP="00C246E2">
      <w:pPr>
        <w:rPr>
          <w:sz w:val="22"/>
          <w:szCs w:val="22"/>
        </w:rPr>
      </w:pPr>
      <w:bookmarkStart w:id="1" w:name="_GoBack"/>
      <w:r w:rsidRPr="00C246E2">
        <w:rPr>
          <w:sz w:val="22"/>
          <w:szCs w:val="22"/>
        </w:rPr>
        <w:t>Підготували:</w:t>
      </w:r>
    </w:p>
    <w:p w:rsidR="00C246E2" w:rsidRPr="00C246E2" w:rsidRDefault="00C246E2" w:rsidP="00C246E2">
      <w:pPr>
        <w:rPr>
          <w:sz w:val="22"/>
          <w:szCs w:val="22"/>
        </w:rPr>
      </w:pPr>
      <w:r w:rsidRPr="00C246E2">
        <w:rPr>
          <w:sz w:val="22"/>
          <w:szCs w:val="22"/>
        </w:rPr>
        <w:t xml:space="preserve">Юрисконсульт </w:t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  <w:t xml:space="preserve">           Маргарита ТОКОВА</w:t>
      </w:r>
    </w:p>
    <w:p w:rsidR="00C246E2" w:rsidRPr="00C246E2" w:rsidRDefault="00C246E2" w:rsidP="00C246E2">
      <w:pPr>
        <w:rPr>
          <w:sz w:val="22"/>
          <w:szCs w:val="22"/>
        </w:rPr>
      </w:pPr>
      <w:r w:rsidRPr="00C246E2">
        <w:rPr>
          <w:sz w:val="22"/>
          <w:szCs w:val="22"/>
        </w:rPr>
        <w:t>Голова земельної комісії</w:t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  <w:t xml:space="preserve">           Віталій НЕКА</w:t>
      </w:r>
    </w:p>
    <w:p w:rsidR="00C246E2" w:rsidRPr="00C246E2" w:rsidRDefault="00C246E2" w:rsidP="00C246E2">
      <w:pPr>
        <w:rPr>
          <w:sz w:val="22"/>
          <w:szCs w:val="22"/>
        </w:rPr>
      </w:pPr>
      <w:r w:rsidRPr="00C246E2">
        <w:rPr>
          <w:sz w:val="22"/>
          <w:szCs w:val="22"/>
        </w:rPr>
        <w:t>Начальник відділу земельних відносин</w:t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  <w:t xml:space="preserve">                                   Вікторія МИРОНЧУК</w:t>
      </w:r>
    </w:p>
    <w:bookmarkEnd w:id="1"/>
    <w:p w:rsidR="00C246E2" w:rsidRDefault="00C246E2" w:rsidP="00B90129">
      <w:pPr>
        <w:rPr>
          <w:rStyle w:val="rvts9"/>
          <w:bCs/>
          <w:color w:val="000000"/>
          <w:lang w:eastAsia="ru-RU"/>
        </w:rPr>
        <w:sectPr w:rsidR="00C246E2">
          <w:pgSz w:w="11906" w:h="16838"/>
          <w:pgMar w:top="567" w:right="567" w:bottom="1134" w:left="1701" w:header="709" w:footer="709" w:gutter="0"/>
          <w:cols w:space="720"/>
        </w:sectPr>
      </w:pPr>
    </w:p>
    <w:p w:rsidR="00B90129" w:rsidRDefault="00B90129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right"/>
        <w:rPr>
          <w:rStyle w:val="rvts9"/>
          <w:bCs/>
          <w:lang w:val="uk-UA"/>
        </w:rPr>
      </w:pPr>
      <w:r>
        <w:rPr>
          <w:rStyle w:val="rvts9"/>
          <w:bCs/>
          <w:color w:val="000000"/>
          <w:lang w:val="uk-UA"/>
        </w:rPr>
        <w:lastRenderedPageBreak/>
        <w:t>Додаток 1</w:t>
      </w:r>
    </w:p>
    <w:p w:rsidR="00B90129" w:rsidRDefault="00B90129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right"/>
        <w:rPr>
          <w:rStyle w:val="rvts9"/>
          <w:bCs/>
          <w:color w:val="000000"/>
          <w:lang w:val="uk-UA"/>
        </w:rPr>
      </w:pPr>
      <w:r>
        <w:rPr>
          <w:rStyle w:val="rvts9"/>
          <w:bCs/>
          <w:color w:val="000000"/>
          <w:lang w:val="uk-UA"/>
        </w:rPr>
        <w:t>до проекту рішення</w:t>
      </w:r>
    </w:p>
    <w:p w:rsidR="00B90129" w:rsidRDefault="00B90129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right"/>
        <w:rPr>
          <w:rStyle w:val="rvts9"/>
          <w:bCs/>
          <w:color w:val="000000"/>
          <w:lang w:val="uk-UA"/>
        </w:rPr>
      </w:pPr>
      <w:proofErr w:type="spellStart"/>
      <w:r>
        <w:rPr>
          <w:rStyle w:val="rvts9"/>
          <w:bCs/>
          <w:color w:val="000000"/>
          <w:lang w:val="uk-UA"/>
        </w:rPr>
        <w:t>Степанківської</w:t>
      </w:r>
      <w:proofErr w:type="spellEnd"/>
      <w:r>
        <w:rPr>
          <w:rStyle w:val="rvts9"/>
          <w:bCs/>
          <w:color w:val="000000"/>
          <w:lang w:val="uk-UA"/>
        </w:rPr>
        <w:t xml:space="preserve"> сільської ради</w:t>
      </w:r>
    </w:p>
    <w:p w:rsidR="00B90129" w:rsidRDefault="00B90129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right"/>
        <w:rPr>
          <w:rStyle w:val="rvts9"/>
          <w:bCs/>
          <w:color w:val="000000"/>
          <w:lang w:val="uk-UA"/>
        </w:rPr>
      </w:pPr>
      <w:r>
        <w:rPr>
          <w:rStyle w:val="rvts9"/>
          <w:bCs/>
          <w:color w:val="000000"/>
          <w:lang w:val="uk-UA"/>
        </w:rPr>
        <w:t>від 00.00.2023 року №34-00/</w:t>
      </w:r>
      <w:r>
        <w:rPr>
          <w:rStyle w:val="rvts9"/>
          <w:bCs/>
          <w:color w:val="000000"/>
          <w:lang w:val="en-US"/>
        </w:rPr>
        <w:t>V</w:t>
      </w:r>
      <w:r>
        <w:rPr>
          <w:rStyle w:val="rvts9"/>
          <w:bCs/>
          <w:color w:val="000000"/>
          <w:lang w:val="uk-UA"/>
        </w:rPr>
        <w:t>ІІІ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законодавства. 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 виконавчої влади та органи місцевого самоврядування, які укладають договори оренди землі, повинні до 1 лютого подавати контролюючому органу за місцезнаходженням земельної ділянки переліки орендарів, з якими укладено договори оренди землі на поточний рік, та інформувати відповідний контролюючий орган про укладення нових, внесення змін до існуючих договорів оренди землі та їх розірвання до 1 числа місяця, що настає за місяцем, у якому відбулися зазначені зміни. 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надання інформації затверджується центральним органом виконавчої влади, що забезпечує формування державної податкової політики.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Платником орендної плати є орендар земельної ділянки. 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Об'єктом оподаткування є земельна ділянка, надана в оренду. 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Розмір та умови внесення орендної плати встановлюються у договорі оренди між орендодавцем (власником) і орендарем. 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Розмір орендної плати встановлюється у договорі оренди, але річна сума платежу: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- для земель житлової та громадської забудови – 8% (крім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 5.1) ;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– під розміщення базової станції стільникового зв’язку – 12%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– для земель лісогосподарського призначення – 12%;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– для земель рекреаційного призначення – 12%: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– для земель водного фонду – 12%;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– для земель промисловості, транспорту, зв’язку, енергетики, оборони та іншого призначення – 12%;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– для земель сільськогосподарського призначення – 12 % (крім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11, 12.)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– для земель сільськогосподарського призначення (під господарськими будівлями та дворами)– </w:t>
      </w:r>
      <w:r w:rsidR="00965CD4">
        <w:rPr>
          <w:sz w:val="28"/>
          <w:szCs w:val="28"/>
        </w:rPr>
        <w:t>12</w:t>
      </w:r>
      <w:r>
        <w:rPr>
          <w:sz w:val="28"/>
          <w:szCs w:val="28"/>
        </w:rPr>
        <w:t>%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– </w:t>
      </w:r>
      <w:r w:rsidRPr="00E628F9">
        <w:rPr>
          <w:sz w:val="28"/>
          <w:szCs w:val="28"/>
          <w:u w:val="single"/>
        </w:rPr>
        <w:t>для земель</w:t>
      </w:r>
      <w:r>
        <w:rPr>
          <w:sz w:val="28"/>
          <w:szCs w:val="28"/>
        </w:rPr>
        <w:t xml:space="preserve"> сільськогосподарського призначення (сіножаті, пасовища) – 1</w:t>
      </w:r>
      <w:r w:rsidR="00965CD4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Плата за суборенду земельних ділянок не може перевищувати орендної плати.</w:t>
      </w:r>
    </w:p>
    <w:p w:rsidR="00B90129" w:rsidRDefault="00B90129" w:rsidP="00B90129">
      <w:pPr>
        <w:ind w:firstLine="851"/>
        <w:jc w:val="both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14.  </w:t>
      </w:r>
      <w:r>
        <w:rPr>
          <w:color w:val="000000"/>
          <w:sz w:val="28"/>
          <w:szCs w:val="28"/>
          <w:shd w:val="clear" w:color="auto" w:fill="FFFFFF"/>
        </w:rPr>
        <w:t>Податковий період, порядок обчислення орендної плати, строк сплати та порядок її зарахування до бюджетів застосовується відповідно до вимог </w:t>
      </w:r>
      <w:r>
        <w:rPr>
          <w:sz w:val="28"/>
          <w:szCs w:val="28"/>
          <w:shd w:val="clear" w:color="auto" w:fill="FFFFFF"/>
        </w:rPr>
        <w:t>статей 285-287</w:t>
      </w:r>
      <w:r>
        <w:rPr>
          <w:color w:val="000000"/>
          <w:sz w:val="28"/>
          <w:szCs w:val="28"/>
          <w:shd w:val="clear" w:color="auto" w:fill="FFFFFF"/>
        </w:rPr>
        <w:t> Податкового кодексу України</w:t>
      </w:r>
      <w:r>
        <w:rPr>
          <w:color w:val="000000"/>
          <w:shd w:val="clear" w:color="auto" w:fill="FFFFFF"/>
        </w:rPr>
        <w:t>.</w:t>
      </w:r>
    </w:p>
    <w:p w:rsidR="00B90129" w:rsidRDefault="00B90129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плати </w:t>
      </w:r>
      <w:proofErr w:type="spellStart"/>
      <w:r>
        <w:rPr>
          <w:color w:val="000000"/>
          <w:sz w:val="28"/>
          <w:szCs w:val="28"/>
        </w:rPr>
        <w:t>використовується</w:t>
      </w:r>
      <w:proofErr w:type="spellEnd"/>
      <w:r>
        <w:rPr>
          <w:color w:val="000000"/>
          <w:sz w:val="28"/>
          <w:szCs w:val="28"/>
        </w:rPr>
        <w:t xml:space="preserve"> нормативна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2" w:name="n6931"/>
      <w:bookmarkEnd w:id="2"/>
      <w:proofErr w:type="spellStart"/>
      <w:r>
        <w:rPr>
          <w:color w:val="000000"/>
          <w:sz w:val="28"/>
          <w:szCs w:val="28"/>
          <w:lang w:val="ru-RU" w:eastAsia="ru-RU"/>
        </w:rPr>
        <w:lastRenderedPageBreak/>
        <w:t>Центральний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відносин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здійснює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управління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 та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ділянок</w:t>
      </w:r>
      <w:proofErr w:type="spellEnd"/>
      <w:r>
        <w:rPr>
          <w:color w:val="000000"/>
          <w:sz w:val="28"/>
          <w:szCs w:val="28"/>
          <w:lang w:val="ru-RU" w:eastAsia="ru-RU"/>
        </w:rPr>
        <w:t>.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3" w:name="n6932"/>
      <w:bookmarkEnd w:id="3"/>
      <w:proofErr w:type="spellStart"/>
      <w:r>
        <w:rPr>
          <w:color w:val="000000"/>
          <w:sz w:val="28"/>
          <w:szCs w:val="28"/>
          <w:lang w:val="ru-RU" w:eastAsia="ru-RU"/>
        </w:rPr>
        <w:t>Центральний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відносин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індексом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споживчих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цін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color w:val="000000"/>
          <w:sz w:val="28"/>
          <w:szCs w:val="28"/>
          <w:lang w:val="ru-RU" w:eastAsia="ru-RU"/>
        </w:rPr>
        <w:t>попередній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ru-RU" w:eastAsia="ru-RU"/>
        </w:rPr>
        <w:t>р</w:t>
      </w:r>
      <w:proofErr w:type="gramEnd"/>
      <w:r>
        <w:rPr>
          <w:color w:val="000000"/>
          <w:sz w:val="28"/>
          <w:szCs w:val="28"/>
          <w:lang w:val="ru-RU" w:eastAsia="ru-RU"/>
        </w:rPr>
        <w:t>ік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щороку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розраховує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величину </w:t>
      </w:r>
      <w:proofErr w:type="spellStart"/>
      <w:r>
        <w:rPr>
          <w:color w:val="000000"/>
          <w:sz w:val="28"/>
          <w:szCs w:val="28"/>
          <w:lang w:val="ru-RU" w:eastAsia="ru-RU"/>
        </w:rPr>
        <w:t>коефіцієнта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індексації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земель, на </w:t>
      </w:r>
      <w:proofErr w:type="spellStart"/>
      <w:r>
        <w:rPr>
          <w:color w:val="000000"/>
          <w:sz w:val="28"/>
          <w:szCs w:val="28"/>
          <w:lang w:val="ru-RU" w:eastAsia="ru-RU"/>
        </w:rPr>
        <w:t>який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індексується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нормативна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сільськогосподарських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угідь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земель </w:t>
      </w:r>
      <w:proofErr w:type="spellStart"/>
      <w:r>
        <w:rPr>
          <w:color w:val="000000"/>
          <w:sz w:val="28"/>
          <w:szCs w:val="28"/>
          <w:lang w:val="ru-RU" w:eastAsia="ru-RU"/>
        </w:rPr>
        <w:t>населених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пунктів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 w:eastAsia="ru-RU"/>
        </w:rPr>
        <w:t>інших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 </w:t>
      </w:r>
      <w:proofErr w:type="spellStart"/>
      <w:r>
        <w:rPr>
          <w:color w:val="000000"/>
          <w:sz w:val="28"/>
          <w:szCs w:val="28"/>
          <w:lang w:val="ru-RU" w:eastAsia="ru-RU"/>
        </w:rPr>
        <w:t>несільськогосподарського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станом на 1 </w:t>
      </w:r>
      <w:proofErr w:type="spellStart"/>
      <w:r>
        <w:rPr>
          <w:color w:val="000000"/>
          <w:sz w:val="28"/>
          <w:szCs w:val="28"/>
          <w:lang w:val="ru-RU" w:eastAsia="ru-RU"/>
        </w:rPr>
        <w:t>січня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color w:val="000000"/>
          <w:sz w:val="28"/>
          <w:szCs w:val="28"/>
          <w:lang w:val="ru-RU" w:eastAsia="ru-RU"/>
        </w:rPr>
        <w:t>поточного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року,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визначається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формулою:</w:t>
      </w:r>
    </w:p>
    <w:p w:rsidR="00B90129" w:rsidRDefault="00B90129" w:rsidP="00B90129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ru-RU"/>
        </w:rPr>
      </w:pPr>
      <w:bookmarkStart w:id="4" w:name="n6933"/>
      <w:bookmarkEnd w:id="4"/>
      <w:proofErr w:type="spellStart"/>
      <w:r>
        <w:rPr>
          <w:color w:val="000000"/>
          <w:sz w:val="28"/>
          <w:szCs w:val="28"/>
          <w:lang w:val="ru-RU" w:eastAsia="ru-RU"/>
        </w:rPr>
        <w:t>К</w:t>
      </w:r>
      <w:proofErr w:type="gramStart"/>
      <w:r>
        <w:rPr>
          <w:color w:val="000000"/>
          <w:sz w:val="28"/>
          <w:szCs w:val="28"/>
          <w:lang w:val="ru-RU" w:eastAsia="ru-RU"/>
        </w:rPr>
        <w:t>i</w:t>
      </w:r>
      <w:proofErr w:type="spellEnd"/>
      <w:proofErr w:type="gramEnd"/>
      <w:r>
        <w:rPr>
          <w:color w:val="000000"/>
          <w:sz w:val="28"/>
          <w:szCs w:val="28"/>
          <w:lang w:val="ru-RU" w:eastAsia="ru-RU"/>
        </w:rPr>
        <w:t xml:space="preserve"> = І:100,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5" w:name="n6934"/>
      <w:bookmarkEnd w:id="5"/>
      <w:r>
        <w:rPr>
          <w:color w:val="000000"/>
          <w:sz w:val="28"/>
          <w:szCs w:val="28"/>
          <w:lang w:val="ru-RU" w:eastAsia="ru-RU"/>
        </w:rPr>
        <w:t xml:space="preserve">де І -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споживчих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цін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color w:val="000000"/>
          <w:sz w:val="28"/>
          <w:szCs w:val="28"/>
          <w:lang w:val="ru-RU" w:eastAsia="ru-RU"/>
        </w:rPr>
        <w:t>попередній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ru-RU" w:eastAsia="ru-RU"/>
        </w:rPr>
        <w:t>р</w:t>
      </w:r>
      <w:proofErr w:type="gramEnd"/>
      <w:r>
        <w:rPr>
          <w:color w:val="000000"/>
          <w:sz w:val="28"/>
          <w:szCs w:val="28"/>
          <w:lang w:val="ru-RU" w:eastAsia="ru-RU"/>
        </w:rPr>
        <w:t>ік</w:t>
      </w:r>
      <w:proofErr w:type="spellEnd"/>
      <w:r>
        <w:rPr>
          <w:color w:val="000000"/>
          <w:sz w:val="28"/>
          <w:szCs w:val="28"/>
          <w:lang w:val="ru-RU" w:eastAsia="ru-RU"/>
        </w:rPr>
        <w:t>.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6" w:name="n6935"/>
      <w:bookmarkEnd w:id="6"/>
      <w:proofErr w:type="gramStart"/>
      <w:r>
        <w:rPr>
          <w:color w:val="000000"/>
          <w:sz w:val="28"/>
          <w:szCs w:val="28"/>
          <w:lang w:val="ru-RU" w:eastAsia="ru-RU"/>
        </w:rPr>
        <w:t>У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разі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якщо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споживчих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цін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перевищує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115 </w:t>
      </w:r>
      <w:proofErr w:type="spellStart"/>
      <w:r>
        <w:rPr>
          <w:color w:val="000000"/>
          <w:sz w:val="28"/>
          <w:szCs w:val="28"/>
          <w:lang w:val="ru-RU" w:eastAsia="ru-RU"/>
        </w:rPr>
        <w:t>відсотків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такий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застосовується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із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значенням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115.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7" w:name="n14403"/>
      <w:bookmarkStart w:id="8" w:name="n6936"/>
      <w:bookmarkEnd w:id="7"/>
      <w:bookmarkEnd w:id="8"/>
      <w:proofErr w:type="spellStart"/>
      <w:r>
        <w:rPr>
          <w:color w:val="000000"/>
          <w:sz w:val="28"/>
          <w:szCs w:val="28"/>
          <w:lang w:val="ru-RU" w:eastAsia="ru-RU"/>
        </w:rPr>
        <w:t>Коефіцієнт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індексації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 </w:t>
      </w:r>
      <w:proofErr w:type="spellStart"/>
      <w:r>
        <w:rPr>
          <w:color w:val="000000"/>
          <w:sz w:val="28"/>
          <w:szCs w:val="28"/>
          <w:lang w:val="ru-RU" w:eastAsia="ru-RU"/>
        </w:rPr>
        <w:t>застосовується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кумулятивно </w:t>
      </w:r>
      <w:proofErr w:type="spellStart"/>
      <w:r>
        <w:rPr>
          <w:color w:val="000000"/>
          <w:sz w:val="28"/>
          <w:szCs w:val="28"/>
          <w:lang w:val="ru-RU" w:eastAsia="ru-RU"/>
        </w:rPr>
        <w:t>залежно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дати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проведення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земель.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9" w:name="n11964"/>
      <w:bookmarkStart w:id="10" w:name="n6937"/>
      <w:bookmarkEnd w:id="9"/>
      <w:bookmarkEnd w:id="10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Центральний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відносин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Рада </w:t>
      </w:r>
      <w:proofErr w:type="spellStart"/>
      <w:r>
        <w:rPr>
          <w:color w:val="000000"/>
          <w:sz w:val="28"/>
          <w:szCs w:val="28"/>
          <w:lang w:val="ru-RU" w:eastAsia="ru-RU"/>
        </w:rPr>
        <w:t>міні</w:t>
      </w:r>
      <w:proofErr w:type="gramStart"/>
      <w:r>
        <w:rPr>
          <w:color w:val="000000"/>
          <w:sz w:val="28"/>
          <w:szCs w:val="28"/>
          <w:lang w:val="ru-RU" w:eastAsia="ru-RU"/>
        </w:rPr>
        <w:t>стр</w:t>
      </w:r>
      <w:proofErr w:type="gramEnd"/>
      <w:r>
        <w:rPr>
          <w:color w:val="000000"/>
          <w:sz w:val="28"/>
          <w:szCs w:val="28"/>
          <w:lang w:val="ru-RU" w:eastAsia="ru-RU"/>
        </w:rPr>
        <w:t>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Автономної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Республіки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Крим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обласні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Київська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 w:eastAsia="ru-RU"/>
        </w:rPr>
        <w:t>Севастопольська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міські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адміністрації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000000"/>
          <w:sz w:val="28"/>
          <w:szCs w:val="28"/>
          <w:lang w:val="ru-RU" w:eastAsia="ru-RU"/>
        </w:rPr>
        <w:t>пізніше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15 </w:t>
      </w:r>
      <w:proofErr w:type="spellStart"/>
      <w:r>
        <w:rPr>
          <w:color w:val="000000"/>
          <w:sz w:val="28"/>
          <w:szCs w:val="28"/>
          <w:lang w:val="ru-RU" w:eastAsia="ru-RU"/>
        </w:rPr>
        <w:t>січня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поточного року </w:t>
      </w:r>
      <w:proofErr w:type="spellStart"/>
      <w:r>
        <w:rPr>
          <w:color w:val="000000"/>
          <w:sz w:val="28"/>
          <w:szCs w:val="28"/>
          <w:lang w:val="ru-RU" w:eastAsia="ru-RU"/>
        </w:rPr>
        <w:t>забезпечують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інформування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центрального органу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податкову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і </w:t>
      </w:r>
      <w:proofErr w:type="spellStart"/>
      <w:r>
        <w:rPr>
          <w:color w:val="000000"/>
          <w:sz w:val="28"/>
          <w:szCs w:val="28"/>
          <w:lang w:val="ru-RU" w:eastAsia="ru-RU"/>
        </w:rPr>
        <w:t>митну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і </w:t>
      </w:r>
      <w:proofErr w:type="spellStart"/>
      <w:r>
        <w:rPr>
          <w:color w:val="000000"/>
          <w:sz w:val="28"/>
          <w:szCs w:val="28"/>
          <w:lang w:val="ru-RU" w:eastAsia="ru-RU"/>
        </w:rPr>
        <w:t>власників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землі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 w:eastAsia="ru-RU"/>
        </w:rPr>
        <w:t>землекористувачі</w:t>
      </w:r>
      <w:proofErr w:type="gramStart"/>
      <w:r>
        <w:rPr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>
        <w:rPr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>
        <w:rPr>
          <w:color w:val="000000"/>
          <w:sz w:val="28"/>
          <w:szCs w:val="28"/>
          <w:lang w:val="ru-RU" w:eastAsia="ru-RU"/>
        </w:rPr>
        <w:t>щорічну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індексацію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земель.</w:t>
      </w:r>
    </w:p>
    <w:p w:rsidR="00B90129" w:rsidRDefault="00B90129" w:rsidP="00B90129">
      <w:pPr>
        <w:pStyle w:val="a5"/>
        <w:ind w:firstLine="6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90129" w:rsidRDefault="00B90129" w:rsidP="00B90129">
      <w:pPr>
        <w:pStyle w:val="a5"/>
        <w:ind w:firstLine="6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90129" w:rsidRDefault="00B90129" w:rsidP="00B901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Секретар сільської  ради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Інна НЕВГОД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37"/>
        <w:gridCol w:w="4738"/>
      </w:tblGrid>
      <w:tr w:rsidR="00B90129" w:rsidTr="00B90129">
        <w:trPr>
          <w:tblCellSpacing w:w="18" w:type="dxa"/>
        </w:trPr>
        <w:tc>
          <w:tcPr>
            <w:tcW w:w="2500" w:type="pct"/>
            <w:vAlign w:val="bottom"/>
          </w:tcPr>
          <w:p w:rsidR="00B90129" w:rsidRDefault="00B90129">
            <w:pPr>
              <w:pStyle w:val="a4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Align w:val="bottom"/>
          </w:tcPr>
          <w:p w:rsidR="00B90129" w:rsidRDefault="00B90129">
            <w:pPr>
              <w:pStyle w:val="a4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B90129" w:rsidRDefault="00B90129" w:rsidP="00B90129">
      <w:pPr>
        <w:rPr>
          <w:vanish/>
          <w:lang w:val="ru-RU"/>
        </w:rPr>
      </w:pPr>
    </w:p>
    <w:p w:rsidR="00B90129" w:rsidRDefault="00B90129" w:rsidP="00B90129">
      <w:pPr>
        <w:rPr>
          <w:vanish/>
          <w:lang w:val="ru-RU"/>
        </w:rPr>
      </w:pPr>
    </w:p>
    <w:p w:rsidR="00B90129" w:rsidRDefault="00B90129" w:rsidP="00B90129"/>
    <w:p w:rsidR="00B90129" w:rsidRDefault="00B90129" w:rsidP="00B90129">
      <w:pPr>
        <w:jc w:val="right"/>
        <w:rPr>
          <w:color w:val="000000"/>
          <w:sz w:val="28"/>
          <w:szCs w:val="28"/>
        </w:rPr>
      </w:pPr>
    </w:p>
    <w:sectPr w:rsidR="00B9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F36E7"/>
    <w:multiLevelType w:val="multilevel"/>
    <w:tmpl w:val="1C1486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62"/>
    <w:rsid w:val="00095B70"/>
    <w:rsid w:val="00330E86"/>
    <w:rsid w:val="005818B1"/>
    <w:rsid w:val="005A1D7C"/>
    <w:rsid w:val="008E2462"/>
    <w:rsid w:val="00965CD4"/>
    <w:rsid w:val="00984494"/>
    <w:rsid w:val="009E3C45"/>
    <w:rsid w:val="00A42C4A"/>
    <w:rsid w:val="00B90129"/>
    <w:rsid w:val="00C246E2"/>
    <w:rsid w:val="00E628F9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1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12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901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uiPriority w:val="99"/>
    <w:rsid w:val="00B90129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B90129"/>
  </w:style>
  <w:style w:type="paragraph" w:styleId="a6">
    <w:name w:val="Balloon Text"/>
    <w:basedOn w:val="a"/>
    <w:link w:val="a7"/>
    <w:uiPriority w:val="99"/>
    <w:semiHidden/>
    <w:unhideWhenUsed/>
    <w:rsid w:val="00B9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129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1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12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901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uiPriority w:val="99"/>
    <w:rsid w:val="00B90129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B90129"/>
  </w:style>
  <w:style w:type="paragraph" w:styleId="a6">
    <w:name w:val="Balloon Text"/>
    <w:basedOn w:val="a"/>
    <w:link w:val="a7"/>
    <w:uiPriority w:val="99"/>
    <w:semiHidden/>
    <w:unhideWhenUsed/>
    <w:rsid w:val="00B9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12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HP1</cp:lastModifiedBy>
  <cp:revision>12</cp:revision>
  <cp:lastPrinted>2023-05-01T06:22:00Z</cp:lastPrinted>
  <dcterms:created xsi:type="dcterms:W3CDTF">2023-04-20T09:33:00Z</dcterms:created>
  <dcterms:modified xsi:type="dcterms:W3CDTF">2023-05-04T09:00:00Z</dcterms:modified>
</cp:coreProperties>
</file>