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0CE39" w14:textId="77777777" w:rsidR="009E37B3" w:rsidRDefault="009E37B3" w:rsidP="00B90129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3BD43022" w14:textId="77777777" w:rsidR="00B90129" w:rsidRDefault="0091406F" w:rsidP="00B90129">
      <w:pPr>
        <w:pStyle w:val="rvps2"/>
        <w:shd w:val="clear" w:color="auto" w:fill="FFFFFF"/>
        <w:spacing w:before="0" w:beforeAutospacing="0" w:after="0" w:afterAutospacing="0"/>
        <w:ind w:firstLine="709"/>
        <w:jc w:val="right"/>
        <w:rPr>
          <w:rStyle w:val="rvts9"/>
          <w:bCs/>
          <w:lang w:val="uk-UA"/>
        </w:rPr>
      </w:pPr>
      <w:r>
        <w:rPr>
          <w:rStyle w:val="rvts9"/>
          <w:bCs/>
          <w:color w:val="000000"/>
          <w:lang w:val="uk-UA"/>
        </w:rPr>
        <w:t xml:space="preserve">Додаток </w:t>
      </w:r>
    </w:p>
    <w:p w14:paraId="56475082" w14:textId="77777777" w:rsidR="00B90129" w:rsidRDefault="00B90129" w:rsidP="00E34E79">
      <w:pPr>
        <w:pStyle w:val="rvps2"/>
        <w:shd w:val="clear" w:color="auto" w:fill="FFFFFF"/>
        <w:spacing w:before="0" w:beforeAutospacing="0" w:after="0" w:afterAutospacing="0"/>
        <w:ind w:left="6372"/>
        <w:jc w:val="both"/>
        <w:rPr>
          <w:rStyle w:val="rvts9"/>
          <w:bCs/>
          <w:color w:val="000000"/>
          <w:lang w:val="uk-UA"/>
        </w:rPr>
      </w:pPr>
      <w:r>
        <w:rPr>
          <w:rStyle w:val="rvts9"/>
          <w:bCs/>
          <w:color w:val="000000"/>
          <w:lang w:val="uk-UA"/>
        </w:rPr>
        <w:t>до рішення</w:t>
      </w:r>
      <w:r w:rsidR="00E34E79">
        <w:rPr>
          <w:rStyle w:val="rvts9"/>
          <w:bCs/>
          <w:color w:val="000000"/>
          <w:lang w:val="uk-UA"/>
        </w:rPr>
        <w:t xml:space="preserve"> </w:t>
      </w:r>
      <w:proofErr w:type="spellStart"/>
      <w:r>
        <w:rPr>
          <w:rStyle w:val="rvts9"/>
          <w:bCs/>
          <w:color w:val="000000"/>
          <w:lang w:val="uk-UA"/>
        </w:rPr>
        <w:t>Степанківської</w:t>
      </w:r>
      <w:proofErr w:type="spellEnd"/>
      <w:r>
        <w:rPr>
          <w:rStyle w:val="rvts9"/>
          <w:bCs/>
          <w:color w:val="000000"/>
          <w:lang w:val="uk-UA"/>
        </w:rPr>
        <w:t xml:space="preserve"> </w:t>
      </w:r>
      <w:r w:rsidR="00E34E79">
        <w:rPr>
          <w:rStyle w:val="rvts9"/>
          <w:bCs/>
          <w:color w:val="000000"/>
          <w:lang w:val="uk-UA"/>
        </w:rPr>
        <w:t xml:space="preserve">               </w:t>
      </w:r>
      <w:r>
        <w:rPr>
          <w:rStyle w:val="rvts9"/>
          <w:bCs/>
          <w:color w:val="000000"/>
          <w:lang w:val="uk-UA"/>
        </w:rPr>
        <w:t>сільської ради</w:t>
      </w:r>
      <w:r w:rsidR="00E34E79">
        <w:rPr>
          <w:rStyle w:val="rvts9"/>
          <w:bCs/>
          <w:color w:val="000000"/>
          <w:lang w:val="uk-UA"/>
        </w:rPr>
        <w:t xml:space="preserve"> </w:t>
      </w:r>
      <w:r w:rsidR="009E37B3">
        <w:rPr>
          <w:rStyle w:val="rvts9"/>
          <w:bCs/>
          <w:color w:val="000000"/>
          <w:lang w:val="uk-UA"/>
        </w:rPr>
        <w:t xml:space="preserve">від </w:t>
      </w:r>
      <w:r w:rsidR="00E34E79">
        <w:rPr>
          <w:rStyle w:val="rvts9"/>
          <w:bCs/>
          <w:color w:val="000000"/>
          <w:lang w:val="uk-UA"/>
        </w:rPr>
        <w:t>14.07</w:t>
      </w:r>
      <w:r w:rsidR="009E37B3">
        <w:rPr>
          <w:rStyle w:val="rvts9"/>
          <w:bCs/>
          <w:color w:val="000000"/>
          <w:lang w:val="uk-UA"/>
        </w:rPr>
        <w:t>.2023 року №</w:t>
      </w:r>
      <w:r w:rsidR="00E34E79">
        <w:rPr>
          <w:rStyle w:val="rvts9"/>
          <w:bCs/>
          <w:color w:val="000000"/>
          <w:lang w:val="uk-UA"/>
        </w:rPr>
        <w:t>36</w:t>
      </w:r>
      <w:r>
        <w:rPr>
          <w:rStyle w:val="rvts9"/>
          <w:bCs/>
          <w:color w:val="000000"/>
          <w:lang w:val="uk-UA"/>
        </w:rPr>
        <w:t>-0</w:t>
      </w:r>
      <w:r w:rsidR="00E34E79">
        <w:rPr>
          <w:rStyle w:val="rvts9"/>
          <w:bCs/>
          <w:color w:val="000000"/>
          <w:lang w:val="uk-UA"/>
        </w:rPr>
        <w:t>3</w:t>
      </w:r>
      <w:r>
        <w:rPr>
          <w:rStyle w:val="rvts9"/>
          <w:bCs/>
          <w:color w:val="000000"/>
          <w:lang w:val="uk-UA"/>
        </w:rPr>
        <w:t>/</w:t>
      </w:r>
      <w:r>
        <w:rPr>
          <w:rStyle w:val="rvts9"/>
          <w:bCs/>
          <w:color w:val="000000"/>
          <w:lang w:val="en-US"/>
        </w:rPr>
        <w:t>V</w:t>
      </w:r>
      <w:r>
        <w:rPr>
          <w:rStyle w:val="rvts9"/>
          <w:bCs/>
          <w:color w:val="000000"/>
          <w:lang w:val="uk-UA"/>
        </w:rPr>
        <w:t>ІІІ</w:t>
      </w:r>
    </w:p>
    <w:p w14:paraId="08E861FF" w14:textId="77777777" w:rsidR="00B90129" w:rsidRDefault="00B90129" w:rsidP="00B90129">
      <w:pPr>
        <w:ind w:firstLine="851"/>
        <w:jc w:val="both"/>
        <w:rPr>
          <w:sz w:val="28"/>
          <w:szCs w:val="28"/>
        </w:rPr>
      </w:pPr>
    </w:p>
    <w:p w14:paraId="56043426" w14:textId="77777777" w:rsidR="00B90129" w:rsidRDefault="00B90129" w:rsidP="00B90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Підставою для нарахування орендної плати за земельну ділянку є договір оренди такої земельної ділянки оформлений та зареєстрований відповідно до законодавства. </w:t>
      </w:r>
    </w:p>
    <w:p w14:paraId="7A517EB3" w14:textId="77777777" w:rsidR="00B90129" w:rsidRDefault="00B90129" w:rsidP="00B90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 виконавчої влади та органи місцевого самоврядування, які укладають договори оренди землі, повинні до 1 лютого подавати контролюючому органу за місцезнаходженням земельної ділянки переліки орендарів, з якими укладено договори оренди землі на поточний рік, та інформувати відповідний контролюючий орган про укладення нових, внесення змін до існуючих договорів оренди землі та їх розірвання до 1 числа місяця, що настає за місяцем, у якому відбулися зазначені зміни. </w:t>
      </w:r>
    </w:p>
    <w:p w14:paraId="2376A49F" w14:textId="77777777" w:rsidR="00B90129" w:rsidRDefault="00B90129" w:rsidP="00B90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Форма надання інформації затверджується центральним органом виконавчої влади, що забезпечує формування державної податкової політики.</w:t>
      </w:r>
    </w:p>
    <w:p w14:paraId="19962A87" w14:textId="77777777" w:rsidR="00B90129" w:rsidRDefault="00B90129" w:rsidP="00B90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Платником орендної плати є орендар земельної ділянки. </w:t>
      </w:r>
    </w:p>
    <w:p w14:paraId="30EA2A73" w14:textId="77777777" w:rsidR="00B90129" w:rsidRDefault="00B90129" w:rsidP="00B90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Об'єктом оподаткування є земельна ділянка, надана в оренду. </w:t>
      </w:r>
    </w:p>
    <w:p w14:paraId="226B5A77" w14:textId="77777777" w:rsidR="00B90129" w:rsidRDefault="00B90129" w:rsidP="00B90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Розмір та умови внесення орендної плати встановлюються у договорі оренди між орендодавцем (власником) і орендарем. </w:t>
      </w:r>
    </w:p>
    <w:p w14:paraId="0B7A5529" w14:textId="77777777" w:rsidR="00B90129" w:rsidRDefault="00B90129" w:rsidP="00B90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Розмір орендної плати встановлюється у договорі оренди, але річна сума платежу:</w:t>
      </w:r>
    </w:p>
    <w:p w14:paraId="6F21B5C5" w14:textId="77777777" w:rsidR="00B90129" w:rsidRDefault="00B90129" w:rsidP="00B90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- для земель житлової та громадської забудови – </w:t>
      </w:r>
      <w:r w:rsidR="00E34E79">
        <w:rPr>
          <w:sz w:val="28"/>
          <w:szCs w:val="28"/>
        </w:rPr>
        <w:t>8</w:t>
      </w:r>
      <w:r>
        <w:rPr>
          <w:sz w:val="28"/>
          <w:szCs w:val="28"/>
        </w:rPr>
        <w:t>%;</w:t>
      </w:r>
    </w:p>
    <w:p w14:paraId="7B474963" w14:textId="77777777" w:rsidR="00B90129" w:rsidRDefault="00B90129" w:rsidP="00B90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 – під розміщення базової станції стільникового зв’язку – 12%</w:t>
      </w:r>
    </w:p>
    <w:p w14:paraId="78D760DC" w14:textId="77777777" w:rsidR="00B90129" w:rsidRDefault="00B90129" w:rsidP="00B90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– для земель лісогосподарського призначення – 12%;</w:t>
      </w:r>
    </w:p>
    <w:p w14:paraId="79ABC889" w14:textId="77777777" w:rsidR="00B90129" w:rsidRDefault="00B90129" w:rsidP="00B90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 – для земель рекреаційного призначення – 12%:</w:t>
      </w:r>
    </w:p>
    <w:p w14:paraId="4E393045" w14:textId="77777777" w:rsidR="00B90129" w:rsidRDefault="00B90129" w:rsidP="00B90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 – для земель водного фонду – 12%;</w:t>
      </w:r>
    </w:p>
    <w:p w14:paraId="02FDB4B1" w14:textId="77777777" w:rsidR="00B90129" w:rsidRDefault="00B90129" w:rsidP="00B90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 – для земель промисловості, транспорту, зв’язку, енергетики, оборони та іншого призначення – 12%;</w:t>
      </w:r>
    </w:p>
    <w:p w14:paraId="5A0993CF" w14:textId="77777777" w:rsidR="00B90129" w:rsidRDefault="00B90129" w:rsidP="00B90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– для земель сільськогосподарського призначення – 12 % (крім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11, 12.)</w:t>
      </w:r>
    </w:p>
    <w:p w14:paraId="3C785E2B" w14:textId="77777777" w:rsidR="00B90129" w:rsidRDefault="00B90129" w:rsidP="00B90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– для земель сільськогосподарського призначення (під господарськими будівлями та дворами)– </w:t>
      </w:r>
      <w:r w:rsidR="00965CD4">
        <w:rPr>
          <w:sz w:val="28"/>
          <w:szCs w:val="28"/>
        </w:rPr>
        <w:t>12</w:t>
      </w:r>
      <w:r>
        <w:rPr>
          <w:sz w:val="28"/>
          <w:szCs w:val="28"/>
        </w:rPr>
        <w:t>%</w:t>
      </w:r>
    </w:p>
    <w:p w14:paraId="70C16CA9" w14:textId="77777777" w:rsidR="00B90129" w:rsidRDefault="00B90129" w:rsidP="00B90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– </w:t>
      </w:r>
      <w:r w:rsidRPr="00E628F9">
        <w:rPr>
          <w:sz w:val="28"/>
          <w:szCs w:val="28"/>
          <w:u w:val="single"/>
        </w:rPr>
        <w:t>для земель</w:t>
      </w:r>
      <w:r>
        <w:rPr>
          <w:sz w:val="28"/>
          <w:szCs w:val="28"/>
        </w:rPr>
        <w:t xml:space="preserve"> сільськогосподарського призначення (сіножаті, пасовища) – 1</w:t>
      </w:r>
      <w:r w:rsidR="00965CD4">
        <w:rPr>
          <w:sz w:val="28"/>
          <w:szCs w:val="28"/>
        </w:rPr>
        <w:t>2</w:t>
      </w:r>
      <w:r>
        <w:rPr>
          <w:sz w:val="28"/>
          <w:szCs w:val="28"/>
        </w:rPr>
        <w:t>%.</w:t>
      </w:r>
    </w:p>
    <w:p w14:paraId="477295D1" w14:textId="77777777" w:rsidR="00B90129" w:rsidRDefault="00B90129" w:rsidP="00B90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13. Плата за суборенду земельних ділянок не може перевищувати орендної плати.</w:t>
      </w:r>
    </w:p>
    <w:p w14:paraId="11EA47AC" w14:textId="77777777" w:rsidR="00B90129" w:rsidRDefault="00B90129" w:rsidP="00B90129">
      <w:pPr>
        <w:ind w:firstLine="851"/>
        <w:jc w:val="both"/>
        <w:rPr>
          <w:color w:val="000000"/>
          <w:shd w:val="clear" w:color="auto" w:fill="FFFFFF"/>
        </w:rPr>
      </w:pPr>
      <w:r>
        <w:rPr>
          <w:sz w:val="28"/>
          <w:szCs w:val="28"/>
        </w:rPr>
        <w:t xml:space="preserve">14.  </w:t>
      </w:r>
      <w:r>
        <w:rPr>
          <w:color w:val="000000"/>
          <w:sz w:val="28"/>
          <w:szCs w:val="28"/>
          <w:shd w:val="clear" w:color="auto" w:fill="FFFFFF"/>
        </w:rPr>
        <w:t>Податковий період, порядок обчислення орендної плати, строк сплати та порядок її зарахування до бюджетів застосовується відповідно до вимог </w:t>
      </w:r>
      <w:r>
        <w:rPr>
          <w:sz w:val="28"/>
          <w:szCs w:val="28"/>
          <w:shd w:val="clear" w:color="auto" w:fill="FFFFFF"/>
        </w:rPr>
        <w:t>статей 285-287</w:t>
      </w:r>
      <w:r>
        <w:rPr>
          <w:color w:val="000000"/>
          <w:sz w:val="28"/>
          <w:szCs w:val="28"/>
          <w:shd w:val="clear" w:color="auto" w:fill="FFFFFF"/>
        </w:rPr>
        <w:t> Податкового кодексу України</w:t>
      </w:r>
      <w:r>
        <w:rPr>
          <w:color w:val="000000"/>
          <w:shd w:val="clear" w:color="auto" w:fill="FFFFFF"/>
        </w:rPr>
        <w:t>.</w:t>
      </w:r>
    </w:p>
    <w:p w14:paraId="63CC55AB" w14:textId="77777777" w:rsidR="00B90129" w:rsidRDefault="00B90129" w:rsidP="00B9012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15. </w:t>
      </w:r>
      <w:r>
        <w:rPr>
          <w:color w:val="000000"/>
          <w:sz w:val="28"/>
          <w:szCs w:val="28"/>
        </w:rPr>
        <w:t xml:space="preserve">Для </w:t>
      </w:r>
      <w:proofErr w:type="spellStart"/>
      <w:r>
        <w:rPr>
          <w:color w:val="000000"/>
          <w:sz w:val="28"/>
          <w:szCs w:val="28"/>
        </w:rPr>
        <w:t>визначення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розміру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орендної</w:t>
      </w:r>
      <w:proofErr w:type="spellEnd"/>
      <w:r>
        <w:rPr>
          <w:color w:val="000000"/>
          <w:sz w:val="28"/>
          <w:szCs w:val="28"/>
        </w:rPr>
        <w:t xml:space="preserve"> плати </w:t>
      </w:r>
      <w:proofErr w:type="spellStart"/>
      <w:r>
        <w:rPr>
          <w:color w:val="000000"/>
          <w:sz w:val="28"/>
          <w:szCs w:val="28"/>
        </w:rPr>
        <w:t>використовується</w:t>
      </w:r>
      <w:proofErr w:type="spellEnd"/>
      <w:r>
        <w:rPr>
          <w:color w:val="000000"/>
          <w:sz w:val="28"/>
          <w:szCs w:val="28"/>
        </w:rPr>
        <w:t xml:space="preserve"> нормативна </w:t>
      </w:r>
      <w:proofErr w:type="spellStart"/>
      <w:r>
        <w:rPr>
          <w:color w:val="000000"/>
          <w:sz w:val="28"/>
          <w:szCs w:val="28"/>
        </w:rPr>
        <w:t>грошова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оцінка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ділянок</w:t>
      </w:r>
      <w:proofErr w:type="spellEnd"/>
      <w:r>
        <w:rPr>
          <w:color w:val="000000"/>
          <w:sz w:val="28"/>
          <w:szCs w:val="28"/>
        </w:rPr>
        <w:t>.</w:t>
      </w:r>
    </w:p>
    <w:p w14:paraId="30FF6633" w14:textId="77777777" w:rsidR="00B90129" w:rsidRDefault="00B90129" w:rsidP="00B9012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 w:eastAsia="ru-RU"/>
        </w:rPr>
      </w:pPr>
      <w:bookmarkStart w:id="0" w:name="n6931"/>
      <w:bookmarkEnd w:id="0"/>
      <w:proofErr w:type="spellStart"/>
      <w:r>
        <w:rPr>
          <w:color w:val="000000"/>
          <w:sz w:val="28"/>
          <w:szCs w:val="28"/>
          <w:lang w:val="ru-RU" w:eastAsia="ru-RU"/>
        </w:rPr>
        <w:t>Центральний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орган </w:t>
      </w:r>
      <w:proofErr w:type="spellStart"/>
      <w:r>
        <w:rPr>
          <w:color w:val="000000"/>
          <w:sz w:val="28"/>
          <w:szCs w:val="28"/>
          <w:lang w:val="ru-RU" w:eastAsia="ru-RU"/>
        </w:rPr>
        <w:t>виконавчої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влади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color w:val="000000"/>
          <w:sz w:val="28"/>
          <w:szCs w:val="28"/>
          <w:lang w:val="ru-RU" w:eastAsia="ru-RU"/>
        </w:rPr>
        <w:t>що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реалізує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державну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політику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у </w:t>
      </w:r>
      <w:proofErr w:type="spellStart"/>
      <w:r>
        <w:rPr>
          <w:color w:val="000000"/>
          <w:sz w:val="28"/>
          <w:szCs w:val="28"/>
          <w:lang w:val="ru-RU" w:eastAsia="ru-RU"/>
        </w:rPr>
        <w:t>сфері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земельних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відносин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здійснює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управління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у </w:t>
      </w:r>
      <w:proofErr w:type="spellStart"/>
      <w:r>
        <w:rPr>
          <w:color w:val="000000"/>
          <w:sz w:val="28"/>
          <w:szCs w:val="28"/>
          <w:lang w:val="ru-RU" w:eastAsia="ru-RU"/>
        </w:rPr>
        <w:t>сфері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оцінки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земель та </w:t>
      </w:r>
      <w:proofErr w:type="spellStart"/>
      <w:r>
        <w:rPr>
          <w:color w:val="000000"/>
          <w:sz w:val="28"/>
          <w:szCs w:val="28"/>
          <w:lang w:val="ru-RU" w:eastAsia="ru-RU"/>
        </w:rPr>
        <w:t>земельних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ділянок</w:t>
      </w:r>
      <w:proofErr w:type="spellEnd"/>
      <w:r>
        <w:rPr>
          <w:color w:val="000000"/>
          <w:sz w:val="28"/>
          <w:szCs w:val="28"/>
          <w:lang w:val="ru-RU" w:eastAsia="ru-RU"/>
        </w:rPr>
        <w:t>.</w:t>
      </w:r>
    </w:p>
    <w:p w14:paraId="51008DA4" w14:textId="77777777" w:rsidR="00B90129" w:rsidRDefault="00B90129" w:rsidP="00B9012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 w:eastAsia="ru-RU"/>
        </w:rPr>
      </w:pPr>
      <w:bookmarkStart w:id="1" w:name="n6932"/>
      <w:bookmarkEnd w:id="1"/>
      <w:proofErr w:type="spellStart"/>
      <w:r>
        <w:rPr>
          <w:color w:val="000000"/>
          <w:sz w:val="28"/>
          <w:szCs w:val="28"/>
          <w:lang w:val="ru-RU" w:eastAsia="ru-RU"/>
        </w:rPr>
        <w:t>Центральний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орган </w:t>
      </w:r>
      <w:proofErr w:type="spellStart"/>
      <w:r>
        <w:rPr>
          <w:color w:val="000000"/>
          <w:sz w:val="28"/>
          <w:szCs w:val="28"/>
          <w:lang w:val="ru-RU" w:eastAsia="ru-RU"/>
        </w:rPr>
        <w:t>виконавчої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влади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color w:val="000000"/>
          <w:sz w:val="28"/>
          <w:szCs w:val="28"/>
          <w:lang w:val="ru-RU" w:eastAsia="ru-RU"/>
        </w:rPr>
        <w:t>що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реалізує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державну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політику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у </w:t>
      </w:r>
      <w:proofErr w:type="spellStart"/>
      <w:r>
        <w:rPr>
          <w:color w:val="000000"/>
          <w:sz w:val="28"/>
          <w:szCs w:val="28"/>
          <w:lang w:val="ru-RU" w:eastAsia="ru-RU"/>
        </w:rPr>
        <w:t>сфері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земельних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відносин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за </w:t>
      </w:r>
      <w:proofErr w:type="spellStart"/>
      <w:r>
        <w:rPr>
          <w:color w:val="000000"/>
          <w:sz w:val="28"/>
          <w:szCs w:val="28"/>
          <w:lang w:val="ru-RU" w:eastAsia="ru-RU"/>
        </w:rPr>
        <w:t>індексом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споживчих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цін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за </w:t>
      </w:r>
      <w:proofErr w:type="spellStart"/>
      <w:r>
        <w:rPr>
          <w:color w:val="000000"/>
          <w:sz w:val="28"/>
          <w:szCs w:val="28"/>
          <w:lang w:val="ru-RU" w:eastAsia="ru-RU"/>
        </w:rPr>
        <w:t>попередній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рік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щороку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розраховує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величину </w:t>
      </w:r>
      <w:proofErr w:type="spellStart"/>
      <w:r>
        <w:rPr>
          <w:color w:val="000000"/>
          <w:sz w:val="28"/>
          <w:szCs w:val="28"/>
          <w:lang w:val="ru-RU" w:eastAsia="ru-RU"/>
        </w:rPr>
        <w:t>коефіцієнта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індексації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нормативної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грошової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lastRenderedPageBreak/>
        <w:t>оцінки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земель, на </w:t>
      </w:r>
      <w:proofErr w:type="spellStart"/>
      <w:r>
        <w:rPr>
          <w:color w:val="000000"/>
          <w:sz w:val="28"/>
          <w:szCs w:val="28"/>
          <w:lang w:val="ru-RU" w:eastAsia="ru-RU"/>
        </w:rPr>
        <w:t>який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індексується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нормативна </w:t>
      </w:r>
      <w:proofErr w:type="spellStart"/>
      <w:r>
        <w:rPr>
          <w:color w:val="000000"/>
          <w:sz w:val="28"/>
          <w:szCs w:val="28"/>
          <w:lang w:val="ru-RU" w:eastAsia="ru-RU"/>
        </w:rPr>
        <w:t>грошова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оцінка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сільськогосподарських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угідь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, земель </w:t>
      </w:r>
      <w:proofErr w:type="spellStart"/>
      <w:r>
        <w:rPr>
          <w:color w:val="000000"/>
          <w:sz w:val="28"/>
          <w:szCs w:val="28"/>
          <w:lang w:val="ru-RU" w:eastAsia="ru-RU"/>
        </w:rPr>
        <w:t>населених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пунктів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та </w:t>
      </w:r>
      <w:proofErr w:type="spellStart"/>
      <w:r>
        <w:rPr>
          <w:color w:val="000000"/>
          <w:sz w:val="28"/>
          <w:szCs w:val="28"/>
          <w:lang w:val="ru-RU" w:eastAsia="ru-RU"/>
        </w:rPr>
        <w:t>інших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земель </w:t>
      </w:r>
      <w:proofErr w:type="spellStart"/>
      <w:r>
        <w:rPr>
          <w:color w:val="000000"/>
          <w:sz w:val="28"/>
          <w:szCs w:val="28"/>
          <w:lang w:val="ru-RU" w:eastAsia="ru-RU"/>
        </w:rPr>
        <w:t>несільськогосподарського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призначення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за станом на 1 </w:t>
      </w:r>
      <w:proofErr w:type="spellStart"/>
      <w:r>
        <w:rPr>
          <w:color w:val="000000"/>
          <w:sz w:val="28"/>
          <w:szCs w:val="28"/>
          <w:lang w:val="ru-RU" w:eastAsia="ru-RU"/>
        </w:rPr>
        <w:t>січня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поточного року, </w:t>
      </w:r>
      <w:proofErr w:type="spellStart"/>
      <w:r>
        <w:rPr>
          <w:color w:val="000000"/>
          <w:sz w:val="28"/>
          <w:szCs w:val="28"/>
          <w:lang w:val="ru-RU" w:eastAsia="ru-RU"/>
        </w:rPr>
        <w:t>що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визначається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за формулою:</w:t>
      </w:r>
    </w:p>
    <w:p w14:paraId="1D46A1A0" w14:textId="77777777" w:rsidR="00B90129" w:rsidRDefault="00B90129" w:rsidP="00B90129">
      <w:pPr>
        <w:shd w:val="clear" w:color="auto" w:fill="FFFFFF"/>
        <w:ind w:firstLine="709"/>
        <w:jc w:val="center"/>
        <w:rPr>
          <w:color w:val="000000"/>
          <w:sz w:val="28"/>
          <w:szCs w:val="28"/>
          <w:lang w:val="ru-RU" w:eastAsia="ru-RU"/>
        </w:rPr>
      </w:pPr>
      <w:bookmarkStart w:id="2" w:name="n6933"/>
      <w:bookmarkEnd w:id="2"/>
      <w:proofErr w:type="spellStart"/>
      <w:r>
        <w:rPr>
          <w:color w:val="000000"/>
          <w:sz w:val="28"/>
          <w:szCs w:val="28"/>
          <w:lang w:val="ru-RU" w:eastAsia="ru-RU"/>
        </w:rPr>
        <w:t>Кi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= І:100,</w:t>
      </w:r>
    </w:p>
    <w:p w14:paraId="39B330D2" w14:textId="77777777" w:rsidR="00B90129" w:rsidRDefault="00B90129" w:rsidP="00B9012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 w:eastAsia="ru-RU"/>
        </w:rPr>
      </w:pPr>
      <w:bookmarkStart w:id="3" w:name="n6934"/>
      <w:bookmarkEnd w:id="3"/>
      <w:r>
        <w:rPr>
          <w:color w:val="000000"/>
          <w:sz w:val="28"/>
          <w:szCs w:val="28"/>
          <w:lang w:val="ru-RU" w:eastAsia="ru-RU"/>
        </w:rPr>
        <w:t xml:space="preserve">де І - </w:t>
      </w:r>
      <w:proofErr w:type="spellStart"/>
      <w:r>
        <w:rPr>
          <w:color w:val="000000"/>
          <w:sz w:val="28"/>
          <w:szCs w:val="28"/>
          <w:lang w:val="ru-RU" w:eastAsia="ru-RU"/>
        </w:rPr>
        <w:t>індекс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споживчих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цін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за </w:t>
      </w:r>
      <w:proofErr w:type="spellStart"/>
      <w:r>
        <w:rPr>
          <w:color w:val="000000"/>
          <w:sz w:val="28"/>
          <w:szCs w:val="28"/>
          <w:lang w:val="ru-RU" w:eastAsia="ru-RU"/>
        </w:rPr>
        <w:t>попередній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рік</w:t>
      </w:r>
      <w:proofErr w:type="spellEnd"/>
      <w:r>
        <w:rPr>
          <w:color w:val="000000"/>
          <w:sz w:val="28"/>
          <w:szCs w:val="28"/>
          <w:lang w:val="ru-RU" w:eastAsia="ru-RU"/>
        </w:rPr>
        <w:t>.</w:t>
      </w:r>
    </w:p>
    <w:p w14:paraId="2A64BCE2" w14:textId="77777777" w:rsidR="00B90129" w:rsidRDefault="00B90129" w:rsidP="00B9012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 w:eastAsia="ru-RU"/>
        </w:rPr>
      </w:pPr>
      <w:bookmarkStart w:id="4" w:name="n6935"/>
      <w:bookmarkEnd w:id="4"/>
      <w:r>
        <w:rPr>
          <w:color w:val="000000"/>
          <w:sz w:val="28"/>
          <w:szCs w:val="28"/>
          <w:lang w:val="ru-RU" w:eastAsia="ru-RU"/>
        </w:rPr>
        <w:t xml:space="preserve">У </w:t>
      </w:r>
      <w:proofErr w:type="spellStart"/>
      <w:r>
        <w:rPr>
          <w:color w:val="000000"/>
          <w:sz w:val="28"/>
          <w:szCs w:val="28"/>
          <w:lang w:val="ru-RU" w:eastAsia="ru-RU"/>
        </w:rPr>
        <w:t>разі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якщо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індекс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споживчих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цін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перевищує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115 </w:t>
      </w:r>
      <w:proofErr w:type="spellStart"/>
      <w:r>
        <w:rPr>
          <w:color w:val="000000"/>
          <w:sz w:val="28"/>
          <w:szCs w:val="28"/>
          <w:lang w:val="ru-RU" w:eastAsia="ru-RU"/>
        </w:rPr>
        <w:t>відсотків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color w:val="000000"/>
          <w:sz w:val="28"/>
          <w:szCs w:val="28"/>
          <w:lang w:val="ru-RU" w:eastAsia="ru-RU"/>
        </w:rPr>
        <w:t>такий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індекс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застосовується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із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значенням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115.</w:t>
      </w:r>
    </w:p>
    <w:p w14:paraId="75AF06B6" w14:textId="77777777" w:rsidR="00B90129" w:rsidRDefault="00B90129" w:rsidP="00B9012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 w:eastAsia="ru-RU"/>
        </w:rPr>
      </w:pPr>
      <w:bookmarkStart w:id="5" w:name="n14403"/>
      <w:bookmarkStart w:id="6" w:name="n6936"/>
      <w:bookmarkEnd w:id="5"/>
      <w:bookmarkEnd w:id="6"/>
      <w:proofErr w:type="spellStart"/>
      <w:r>
        <w:rPr>
          <w:color w:val="000000"/>
          <w:sz w:val="28"/>
          <w:szCs w:val="28"/>
          <w:lang w:val="ru-RU" w:eastAsia="ru-RU"/>
        </w:rPr>
        <w:t>Коефіцієнт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індексації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нормативної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грошової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оцінки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земель </w:t>
      </w:r>
      <w:proofErr w:type="spellStart"/>
      <w:r>
        <w:rPr>
          <w:color w:val="000000"/>
          <w:sz w:val="28"/>
          <w:szCs w:val="28"/>
          <w:lang w:val="ru-RU" w:eastAsia="ru-RU"/>
        </w:rPr>
        <w:t>застосовується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кумулятивно </w:t>
      </w:r>
      <w:proofErr w:type="spellStart"/>
      <w:r>
        <w:rPr>
          <w:color w:val="000000"/>
          <w:sz w:val="28"/>
          <w:szCs w:val="28"/>
          <w:lang w:val="ru-RU" w:eastAsia="ru-RU"/>
        </w:rPr>
        <w:t>залежно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від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дати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проведення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нормативної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грошової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оцінки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земель.</w:t>
      </w:r>
    </w:p>
    <w:p w14:paraId="56A16170" w14:textId="77777777" w:rsidR="00B90129" w:rsidRDefault="00B90129" w:rsidP="00B9012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 w:eastAsia="ru-RU"/>
        </w:rPr>
      </w:pPr>
      <w:bookmarkStart w:id="7" w:name="n11964"/>
      <w:bookmarkStart w:id="8" w:name="n6937"/>
      <w:bookmarkEnd w:id="7"/>
      <w:bookmarkEnd w:id="8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Центральний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орган </w:t>
      </w:r>
      <w:proofErr w:type="spellStart"/>
      <w:r>
        <w:rPr>
          <w:color w:val="000000"/>
          <w:sz w:val="28"/>
          <w:szCs w:val="28"/>
          <w:lang w:val="ru-RU" w:eastAsia="ru-RU"/>
        </w:rPr>
        <w:t>виконавчої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влади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color w:val="000000"/>
          <w:sz w:val="28"/>
          <w:szCs w:val="28"/>
          <w:lang w:val="ru-RU" w:eastAsia="ru-RU"/>
        </w:rPr>
        <w:t>що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реалізує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державну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політику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у </w:t>
      </w:r>
      <w:proofErr w:type="spellStart"/>
      <w:r>
        <w:rPr>
          <w:color w:val="000000"/>
          <w:sz w:val="28"/>
          <w:szCs w:val="28"/>
          <w:lang w:val="ru-RU" w:eastAsia="ru-RU"/>
        </w:rPr>
        <w:t>сфері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земельних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відносин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, Рада </w:t>
      </w:r>
      <w:proofErr w:type="spellStart"/>
      <w:r>
        <w:rPr>
          <w:color w:val="000000"/>
          <w:sz w:val="28"/>
          <w:szCs w:val="28"/>
          <w:lang w:val="ru-RU" w:eastAsia="ru-RU"/>
        </w:rPr>
        <w:t>міністрів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Автономної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Республіки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Крим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color w:val="000000"/>
          <w:sz w:val="28"/>
          <w:szCs w:val="28"/>
          <w:lang w:val="ru-RU" w:eastAsia="ru-RU"/>
        </w:rPr>
        <w:t>обласні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color w:val="000000"/>
          <w:sz w:val="28"/>
          <w:szCs w:val="28"/>
          <w:lang w:val="ru-RU" w:eastAsia="ru-RU"/>
        </w:rPr>
        <w:t>Київська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та </w:t>
      </w:r>
      <w:proofErr w:type="spellStart"/>
      <w:r>
        <w:rPr>
          <w:color w:val="000000"/>
          <w:sz w:val="28"/>
          <w:szCs w:val="28"/>
          <w:lang w:val="ru-RU" w:eastAsia="ru-RU"/>
        </w:rPr>
        <w:t>Севастопольська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міські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державні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адміністрації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не </w:t>
      </w:r>
      <w:proofErr w:type="spellStart"/>
      <w:r>
        <w:rPr>
          <w:color w:val="000000"/>
          <w:sz w:val="28"/>
          <w:szCs w:val="28"/>
          <w:lang w:val="ru-RU" w:eastAsia="ru-RU"/>
        </w:rPr>
        <w:t>пізніше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15 </w:t>
      </w:r>
      <w:proofErr w:type="spellStart"/>
      <w:r>
        <w:rPr>
          <w:color w:val="000000"/>
          <w:sz w:val="28"/>
          <w:szCs w:val="28"/>
          <w:lang w:val="ru-RU" w:eastAsia="ru-RU"/>
        </w:rPr>
        <w:t>січня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поточного року </w:t>
      </w:r>
      <w:proofErr w:type="spellStart"/>
      <w:r>
        <w:rPr>
          <w:color w:val="000000"/>
          <w:sz w:val="28"/>
          <w:szCs w:val="28"/>
          <w:lang w:val="ru-RU" w:eastAsia="ru-RU"/>
        </w:rPr>
        <w:t>забезпечують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інформування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центрального органу </w:t>
      </w:r>
      <w:proofErr w:type="spellStart"/>
      <w:r>
        <w:rPr>
          <w:color w:val="000000"/>
          <w:sz w:val="28"/>
          <w:szCs w:val="28"/>
          <w:lang w:val="ru-RU" w:eastAsia="ru-RU"/>
        </w:rPr>
        <w:t>виконавчої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влади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color w:val="000000"/>
          <w:sz w:val="28"/>
          <w:szCs w:val="28"/>
          <w:lang w:val="ru-RU" w:eastAsia="ru-RU"/>
        </w:rPr>
        <w:t>що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реалізує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державну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податкову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і </w:t>
      </w:r>
      <w:proofErr w:type="spellStart"/>
      <w:r>
        <w:rPr>
          <w:color w:val="000000"/>
          <w:sz w:val="28"/>
          <w:szCs w:val="28"/>
          <w:lang w:val="ru-RU" w:eastAsia="ru-RU"/>
        </w:rPr>
        <w:t>митну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політику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, і </w:t>
      </w:r>
      <w:proofErr w:type="spellStart"/>
      <w:r>
        <w:rPr>
          <w:color w:val="000000"/>
          <w:sz w:val="28"/>
          <w:szCs w:val="28"/>
          <w:lang w:val="ru-RU" w:eastAsia="ru-RU"/>
        </w:rPr>
        <w:t>власників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землі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та </w:t>
      </w:r>
      <w:proofErr w:type="spellStart"/>
      <w:r>
        <w:rPr>
          <w:color w:val="000000"/>
          <w:sz w:val="28"/>
          <w:szCs w:val="28"/>
          <w:lang w:val="ru-RU" w:eastAsia="ru-RU"/>
        </w:rPr>
        <w:t>землекористувачів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>
        <w:rPr>
          <w:color w:val="000000"/>
          <w:sz w:val="28"/>
          <w:szCs w:val="28"/>
          <w:lang w:val="ru-RU" w:eastAsia="ru-RU"/>
        </w:rPr>
        <w:t>щорічну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індексацію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нормативної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грошової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оцінки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земель.</w:t>
      </w:r>
    </w:p>
    <w:p w14:paraId="0823E021" w14:textId="77777777" w:rsidR="00B90129" w:rsidRDefault="00B90129" w:rsidP="00B90129">
      <w:pPr>
        <w:pStyle w:val="a5"/>
        <w:ind w:firstLine="6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635A0EAE" w14:textId="77777777" w:rsidR="00B90129" w:rsidRDefault="00B90129" w:rsidP="00B90129">
      <w:pPr>
        <w:pStyle w:val="a5"/>
        <w:ind w:firstLine="6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10F20800" w14:textId="77777777" w:rsidR="00B90129" w:rsidRDefault="00B90129" w:rsidP="00B9012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Секретар сільської  ради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 xml:space="preserve">        Інна НЕВГОД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90129" w14:paraId="36AD203D" w14:textId="77777777" w:rsidTr="00B90129">
        <w:trPr>
          <w:tblCellSpacing w:w="18" w:type="dxa"/>
        </w:trPr>
        <w:tc>
          <w:tcPr>
            <w:tcW w:w="2500" w:type="pct"/>
            <w:vAlign w:val="bottom"/>
          </w:tcPr>
          <w:p w14:paraId="302992DC" w14:textId="77777777" w:rsidR="00B90129" w:rsidRDefault="00B90129">
            <w:pPr>
              <w:pStyle w:val="a4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  <w:vAlign w:val="bottom"/>
          </w:tcPr>
          <w:p w14:paraId="45F3D7DD" w14:textId="77777777" w:rsidR="00B90129" w:rsidRDefault="00B90129">
            <w:pPr>
              <w:pStyle w:val="a4"/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</w:tbl>
    <w:p w14:paraId="2ABA8DAB" w14:textId="77777777" w:rsidR="00B90129" w:rsidRDefault="00B90129" w:rsidP="00B90129">
      <w:pPr>
        <w:rPr>
          <w:vanish/>
          <w:lang w:val="ru-RU"/>
        </w:rPr>
      </w:pPr>
    </w:p>
    <w:p w14:paraId="51D993DD" w14:textId="77777777" w:rsidR="00B90129" w:rsidRDefault="00B90129" w:rsidP="00B90129">
      <w:pPr>
        <w:rPr>
          <w:vanish/>
          <w:lang w:val="ru-RU"/>
        </w:rPr>
      </w:pPr>
    </w:p>
    <w:p w14:paraId="230A6EB6" w14:textId="77777777" w:rsidR="00B90129" w:rsidRDefault="00B90129" w:rsidP="00B90129"/>
    <w:p w14:paraId="62460565" w14:textId="77777777" w:rsidR="00B90129" w:rsidRDefault="00B90129" w:rsidP="00B90129">
      <w:pPr>
        <w:jc w:val="right"/>
        <w:rPr>
          <w:color w:val="000000"/>
          <w:sz w:val="28"/>
          <w:szCs w:val="28"/>
        </w:rPr>
      </w:pPr>
    </w:p>
    <w:sectPr w:rsidR="00B90129" w:rsidSect="0091406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F36E7"/>
    <w:multiLevelType w:val="multilevel"/>
    <w:tmpl w:val="1C14869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62"/>
    <w:rsid w:val="00095B70"/>
    <w:rsid w:val="00110F1F"/>
    <w:rsid w:val="00330E86"/>
    <w:rsid w:val="005818B1"/>
    <w:rsid w:val="005A1D7C"/>
    <w:rsid w:val="00607BF4"/>
    <w:rsid w:val="008E2462"/>
    <w:rsid w:val="0091406F"/>
    <w:rsid w:val="00965CD4"/>
    <w:rsid w:val="00984494"/>
    <w:rsid w:val="009E37B3"/>
    <w:rsid w:val="009E3C45"/>
    <w:rsid w:val="00A42C4A"/>
    <w:rsid w:val="00B85774"/>
    <w:rsid w:val="00B90129"/>
    <w:rsid w:val="00C246E2"/>
    <w:rsid w:val="00E34E79"/>
    <w:rsid w:val="00E628F9"/>
    <w:rsid w:val="00F35DF6"/>
    <w:rsid w:val="00F7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E22C"/>
  <w15:docId w15:val="{36ED41A6-BDF0-4F93-B6B2-E84ACE93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12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90129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B901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uiPriority w:val="99"/>
    <w:rsid w:val="00B90129"/>
    <w:pPr>
      <w:spacing w:before="100" w:beforeAutospacing="1" w:after="100" w:afterAutospacing="1"/>
    </w:pPr>
    <w:rPr>
      <w:lang w:val="ru-RU" w:eastAsia="ru-RU"/>
    </w:rPr>
  </w:style>
  <w:style w:type="character" w:customStyle="1" w:styleId="rvts9">
    <w:name w:val="rvts9"/>
    <w:basedOn w:val="a0"/>
    <w:rsid w:val="00B90129"/>
  </w:style>
  <w:style w:type="paragraph" w:styleId="a6">
    <w:name w:val="Balloon Text"/>
    <w:basedOn w:val="a"/>
    <w:link w:val="a7"/>
    <w:uiPriority w:val="99"/>
    <w:semiHidden/>
    <w:unhideWhenUsed/>
    <w:rsid w:val="00B901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0129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xfmc1">
    <w:name w:val="xfmc1"/>
    <w:basedOn w:val="a0"/>
    <w:rsid w:val="00110F1F"/>
  </w:style>
  <w:style w:type="paragraph" w:styleId="a8">
    <w:name w:val="List Paragraph"/>
    <w:basedOn w:val="a"/>
    <w:uiPriority w:val="34"/>
    <w:qFormat/>
    <w:rsid w:val="00110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Спецiалiст з IT</cp:lastModifiedBy>
  <cp:revision>2</cp:revision>
  <cp:lastPrinted>2023-07-18T08:50:00Z</cp:lastPrinted>
  <dcterms:created xsi:type="dcterms:W3CDTF">2025-03-28T08:16:00Z</dcterms:created>
  <dcterms:modified xsi:type="dcterms:W3CDTF">2025-03-28T08:16:00Z</dcterms:modified>
</cp:coreProperties>
</file>