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39" w:rsidRPr="00160565" w:rsidRDefault="00B40539" w:rsidP="00B405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39" w:rsidRPr="00160565" w:rsidRDefault="00B40539" w:rsidP="00B40539">
      <w:pPr>
        <w:jc w:val="center"/>
        <w:rPr>
          <w:rFonts w:ascii="Times New Roman" w:hAnsi="Times New Roman"/>
          <w:b/>
          <w:sz w:val="28"/>
          <w:szCs w:val="28"/>
        </w:rPr>
      </w:pPr>
      <w:r w:rsidRPr="00160565"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B40539" w:rsidRPr="00160565" w:rsidRDefault="00B40539" w:rsidP="00B405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перша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B40539" w:rsidRPr="00160565" w:rsidRDefault="00B40539" w:rsidP="00B40539">
      <w:pPr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    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B40539" w:rsidRPr="00160565" w:rsidRDefault="00B40539" w:rsidP="00B40539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6056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0.2023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№41-00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>/</w:t>
      </w:r>
      <w:r w:rsidRPr="0016056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B40539" w:rsidRPr="00160565" w:rsidRDefault="00B40539" w:rsidP="00B40539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60565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40539" w:rsidRPr="00160565" w:rsidRDefault="00B40539" w:rsidP="00B40539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40539" w:rsidRPr="00160565" w:rsidRDefault="00B40539" w:rsidP="00B40539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</w:p>
    <w:p w:rsidR="00B40539" w:rsidRPr="00160565" w:rsidRDefault="00B40539" w:rsidP="00B40539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«Про громадські роботи» </w:t>
      </w:r>
    </w:p>
    <w:p w:rsidR="00B40539" w:rsidRPr="00160565" w:rsidRDefault="00B40539" w:rsidP="00B40539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2024 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B40539" w:rsidRPr="00160565" w:rsidRDefault="00B40539" w:rsidP="00B4053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Відповідно до пунктів 22 частини 1 статті 26, пунктів 1,6 статті 47 Закону України «Про місцеве самоврядування в Україні», частини 1 статті 17, частини 4 статті 18, частини 2 статті 31 Закону України «Про зайнятість населення»,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B40539" w:rsidRPr="00160565" w:rsidRDefault="00B40539" w:rsidP="00B40539">
      <w:pPr>
        <w:rPr>
          <w:rFonts w:ascii="Times New Roman" w:hAnsi="Times New Roman"/>
          <w:b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40539" w:rsidRPr="00160565" w:rsidRDefault="00B40539" w:rsidP="00B405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1. З метою тимчасової зайнятості осіб місцевої територіальної громади затвердити Програму</w:t>
      </w:r>
      <w:r>
        <w:rPr>
          <w:rFonts w:ascii="Times New Roman" w:hAnsi="Times New Roman"/>
          <w:sz w:val="28"/>
          <w:szCs w:val="28"/>
          <w:lang w:val="uk-UA"/>
        </w:rPr>
        <w:t xml:space="preserve"> «Про громадські роботи» на 2024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рік (далі – Програма), що додається.</w:t>
      </w:r>
    </w:p>
    <w:p w:rsidR="00B40539" w:rsidRPr="00160565" w:rsidRDefault="00B40539" w:rsidP="00B40539">
      <w:pPr>
        <w:autoSpaceDE w:val="0"/>
        <w:autoSpaceDN w:val="0"/>
        <w:adjustRightInd w:val="0"/>
        <w:jc w:val="both"/>
        <w:rPr>
          <w:rFonts w:ascii="Times New Roman" w:hAnsi="Times New Roman"/>
          <w:lang w:val="uk-UA" w:eastAsia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ab/>
        <w:t xml:space="preserve">2. Фінансування заходів Програми здійснювати у межах видатків, передбачених бюджетом 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ради на 2024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та інших джерел фінансування, не заборонених законодавством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  <w:r w:rsidRPr="00160565">
        <w:rPr>
          <w:rFonts w:ascii="Times New Roman" w:hAnsi="Times New Roman"/>
          <w:lang w:val="uk-UA" w:eastAsia="uk-UA"/>
        </w:rPr>
        <w:t xml:space="preserve"> </w:t>
      </w:r>
    </w:p>
    <w:p w:rsidR="00B40539" w:rsidRPr="00160565" w:rsidRDefault="00B40539" w:rsidP="00B4053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uk-UA" w:eastAsia="uk-UA"/>
        </w:rPr>
      </w:pPr>
      <w:r w:rsidRPr="00160565">
        <w:rPr>
          <w:rFonts w:ascii="Times New Roman" w:hAnsi="Times New Roman"/>
          <w:sz w:val="28"/>
          <w:szCs w:val="28"/>
          <w:lang w:val="uk-UA" w:eastAsia="uk-UA"/>
        </w:rPr>
        <w:t xml:space="preserve">3. Виконавчому комітету </w:t>
      </w:r>
      <w:proofErr w:type="spellStart"/>
      <w:r w:rsidRPr="00160565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160565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забезпечити виконання даної програми.</w:t>
      </w: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ab/>
        <w:t>4. Контроль за виконанням даного рішення покласти на постійно діючу депутатську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160565">
        <w:rPr>
          <w:rFonts w:ascii="Times New Roman" w:hAnsi="Times New Roman"/>
          <w:sz w:val="24"/>
          <w:szCs w:val="28"/>
          <w:lang w:val="uk-UA"/>
        </w:rPr>
        <w:lastRenderedPageBreak/>
        <w:t xml:space="preserve">Додаток </w:t>
      </w:r>
    </w:p>
    <w:p w:rsidR="00B40539" w:rsidRPr="00160565" w:rsidRDefault="00B40539" w:rsidP="00B40539">
      <w:pPr>
        <w:pStyle w:val="a3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</w:t>
      </w:r>
      <w:r w:rsidRPr="00160565">
        <w:rPr>
          <w:rFonts w:ascii="Times New Roman" w:hAnsi="Times New Roman"/>
          <w:sz w:val="24"/>
          <w:szCs w:val="28"/>
          <w:lang w:val="uk-UA"/>
        </w:rPr>
        <w:t>о</w:t>
      </w:r>
      <w:r>
        <w:rPr>
          <w:rFonts w:ascii="Times New Roman" w:hAnsi="Times New Roman"/>
          <w:sz w:val="24"/>
          <w:szCs w:val="28"/>
          <w:lang w:val="uk-UA"/>
        </w:rPr>
        <w:t xml:space="preserve"> проекту</w:t>
      </w:r>
      <w:r w:rsidRPr="00160565">
        <w:rPr>
          <w:rFonts w:ascii="Times New Roman" w:hAnsi="Times New Roman"/>
          <w:sz w:val="24"/>
          <w:szCs w:val="28"/>
          <w:lang w:val="uk-UA"/>
        </w:rPr>
        <w:t xml:space="preserve"> рішення </w:t>
      </w:r>
      <w:proofErr w:type="spellStart"/>
      <w:r w:rsidRPr="00160565"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160565"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B40539" w:rsidRPr="00160565" w:rsidRDefault="00B40539" w:rsidP="00B40539">
      <w:pPr>
        <w:pStyle w:val="a3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27.10.2023 №41-00</w:t>
      </w:r>
      <w:r w:rsidRPr="00160565">
        <w:rPr>
          <w:rFonts w:ascii="Times New Roman" w:hAnsi="Times New Roman"/>
          <w:sz w:val="24"/>
          <w:szCs w:val="28"/>
          <w:lang w:val="uk-UA"/>
        </w:rPr>
        <w:t>/VІІІ</w:t>
      </w:r>
    </w:p>
    <w:p w:rsidR="00B40539" w:rsidRPr="00160565" w:rsidRDefault="00B40539" w:rsidP="00B40539">
      <w:pPr>
        <w:pStyle w:val="2"/>
        <w:spacing w:after="0" w:line="240" w:lineRule="auto"/>
        <w:ind w:left="4956" w:firstLine="6"/>
        <w:jc w:val="both"/>
        <w:rPr>
          <w:sz w:val="28"/>
          <w:szCs w:val="28"/>
          <w:lang w:val="uk-UA"/>
        </w:rPr>
      </w:pPr>
    </w:p>
    <w:p w:rsidR="00B40539" w:rsidRPr="00160565" w:rsidRDefault="00B40539" w:rsidP="00B40539">
      <w:pPr>
        <w:pStyle w:val="2"/>
        <w:spacing w:after="0" w:line="240" w:lineRule="auto"/>
        <w:ind w:left="4956" w:firstLine="6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>ЗАТВЕРДЖЕНО</w:t>
      </w:r>
    </w:p>
    <w:p w:rsidR="00B40539" w:rsidRPr="00160565" w:rsidRDefault="00B40539" w:rsidP="00B40539">
      <w:pPr>
        <w:pStyle w:val="2"/>
        <w:spacing w:after="0" w:line="240" w:lineRule="auto"/>
        <w:ind w:left="4956" w:firstLine="6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 xml:space="preserve">рішення </w:t>
      </w:r>
      <w:proofErr w:type="spellStart"/>
      <w:r w:rsidRPr="00160565">
        <w:rPr>
          <w:sz w:val="28"/>
          <w:szCs w:val="28"/>
          <w:lang w:val="uk-UA"/>
        </w:rPr>
        <w:t>Степанківської</w:t>
      </w:r>
      <w:proofErr w:type="spellEnd"/>
      <w:r w:rsidRPr="00160565">
        <w:rPr>
          <w:sz w:val="28"/>
          <w:szCs w:val="28"/>
          <w:lang w:val="uk-UA"/>
        </w:rPr>
        <w:t xml:space="preserve"> сільської ради </w:t>
      </w:r>
    </w:p>
    <w:p w:rsidR="00B40539" w:rsidRPr="00160565" w:rsidRDefault="00B40539" w:rsidP="00B40539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27.10.2023 №41-00</w:t>
      </w:r>
      <w:r w:rsidRPr="00160565">
        <w:rPr>
          <w:rFonts w:eastAsia="Times New Roman"/>
          <w:color w:val="auto"/>
          <w:sz w:val="28"/>
          <w:szCs w:val="28"/>
          <w:lang w:val="uk-UA" w:eastAsia="ru-RU"/>
        </w:rPr>
        <w:t>/VІІІ</w:t>
      </w:r>
    </w:p>
    <w:p w:rsidR="00B40539" w:rsidRPr="00160565" w:rsidRDefault="00B40539" w:rsidP="00B40539">
      <w:pPr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0565">
        <w:rPr>
          <w:rFonts w:ascii="Times New Roman" w:hAnsi="Times New Roman"/>
          <w:b/>
          <w:sz w:val="32"/>
          <w:szCs w:val="32"/>
          <w:lang w:val="uk-UA"/>
        </w:rPr>
        <w:t xml:space="preserve">ПРОГРАМА </w:t>
      </w:r>
    </w:p>
    <w:p w:rsidR="00B40539" w:rsidRPr="00160565" w:rsidRDefault="00B40539" w:rsidP="00B4053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40539" w:rsidRPr="00160565" w:rsidRDefault="00B40539" w:rsidP="00B40539">
      <w:pPr>
        <w:jc w:val="center"/>
        <w:rPr>
          <w:rFonts w:ascii="Times New Roman" w:hAnsi="Times New Roman"/>
          <w:b/>
          <w:sz w:val="32"/>
          <w:szCs w:val="36"/>
          <w:lang w:val="uk-UA"/>
        </w:rPr>
      </w:pPr>
      <w:r w:rsidRPr="00160565">
        <w:rPr>
          <w:rFonts w:ascii="Times New Roman" w:hAnsi="Times New Roman"/>
          <w:b/>
          <w:sz w:val="32"/>
          <w:szCs w:val="36"/>
          <w:lang w:val="uk-UA"/>
        </w:rPr>
        <w:t xml:space="preserve">«Про громадські роботи» </w:t>
      </w:r>
    </w:p>
    <w:p w:rsidR="00B40539" w:rsidRPr="00160565" w:rsidRDefault="00B40539" w:rsidP="00B4053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2024</w:t>
      </w:r>
      <w:r w:rsidRPr="00160565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60565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:rsidR="00B40539" w:rsidRDefault="00B40539" w:rsidP="00B40539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2023</w:t>
      </w:r>
      <w:r w:rsidRPr="00160565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B40539" w:rsidRPr="00160565" w:rsidRDefault="00B40539" w:rsidP="00B40539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40539" w:rsidRPr="00160565" w:rsidRDefault="00B40539" w:rsidP="00B40539">
      <w:pPr>
        <w:tabs>
          <w:tab w:val="left" w:pos="915"/>
          <w:tab w:val="center" w:pos="4710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Cs/>
          <w:sz w:val="28"/>
          <w:szCs w:val="28"/>
          <w:lang w:val="uk-UA"/>
        </w:rPr>
        <w:lastRenderedPageBreak/>
        <w:t>ЗМІСТ</w:t>
      </w:r>
    </w:p>
    <w:p w:rsidR="00B40539" w:rsidRPr="00160565" w:rsidRDefault="00B40539" w:rsidP="00B40539">
      <w:pPr>
        <w:tabs>
          <w:tab w:val="left" w:pos="915"/>
          <w:tab w:val="center" w:pos="4710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  <w:gridCol w:w="390"/>
      </w:tblGrid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Паспорт Програми……………………………………………………………….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3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spacing w:val="0"/>
                <w:lang w:val="uk-UA"/>
              </w:rPr>
            </w:pPr>
            <w:r w:rsidRPr="00160565">
              <w:rPr>
                <w:lang w:val="uk-UA"/>
              </w:rPr>
              <w:t>Розділ 1. Визначення проблеми, на розв’язання, якої спрямована Програма…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spacing w:val="0"/>
                <w:lang w:val="uk-UA"/>
              </w:rPr>
            </w:pPr>
            <w:r w:rsidRPr="00160565">
              <w:rPr>
                <w:lang w:val="uk-UA"/>
              </w:rPr>
              <w:t>4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spacing w:val="0"/>
                <w:lang w:val="uk-UA"/>
              </w:rPr>
            </w:pPr>
            <w:r w:rsidRPr="00160565">
              <w:rPr>
                <w:lang w:val="uk-UA"/>
              </w:rPr>
              <w:t>Розділ 2. Мета та завдання Програми…………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4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Розділ 3.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Обґрунтування шляхів та засобів вирішення проблеми, строки виконання Програми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rPr>
                <w:rFonts w:ascii="Times New Roman" w:hAnsi="Times New Roman"/>
                <w:lang w:val="uk-UA"/>
              </w:rPr>
            </w:pPr>
            <w:r w:rsidRPr="0016056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4. Перелік видів громадських робіт…………………………..………..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5</w:t>
            </w:r>
          </w:p>
        </w:tc>
      </w:tr>
      <w:tr w:rsidR="00B40539" w:rsidRPr="00160565" w:rsidTr="00DF4118">
        <w:trPr>
          <w:trHeight w:val="228"/>
        </w:trPr>
        <w:tc>
          <w:tcPr>
            <w:tcW w:w="9181" w:type="dxa"/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 5. </w:t>
            </w: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Джерела фінансування Програми…………………...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6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6. Контроль за ходом виконання Програми…..……………………....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7</w:t>
            </w:r>
          </w:p>
          <w:p w:rsidR="00B40539" w:rsidRPr="00160565" w:rsidRDefault="00B40539" w:rsidP="00DF411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bCs/>
                <w:lang w:val="uk-UA"/>
              </w:rPr>
            </w:pPr>
            <w:r w:rsidRPr="00160565">
              <w:rPr>
                <w:bCs/>
                <w:lang w:val="uk-UA"/>
              </w:rPr>
              <w:t>Розділ 7. Очікуваний кінцевий результат Програми………………………….....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7</w:t>
            </w:r>
          </w:p>
        </w:tc>
      </w:tr>
    </w:tbl>
    <w:p w:rsidR="00B40539" w:rsidRPr="00160565" w:rsidRDefault="00B40539" w:rsidP="00B40539">
      <w:pPr>
        <w:pStyle w:val="1"/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tabs>
          <w:tab w:val="left" w:pos="355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ab/>
      </w: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lastRenderedPageBreak/>
        <w:t xml:space="preserve">Паспорт Програми </w:t>
      </w:r>
    </w:p>
    <w:p w:rsidR="00B40539" w:rsidRPr="00160565" w:rsidRDefault="00B40539" w:rsidP="00B40539">
      <w:pPr>
        <w:ind w:left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790"/>
      </w:tblGrid>
      <w:tr w:rsidR="00B40539" w:rsidRPr="00160565" w:rsidTr="00DF4118">
        <w:trPr>
          <w:trHeight w:val="3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громадські роботи на 2024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40539" w:rsidRPr="00160565" w:rsidTr="00DF4118">
        <w:trPr>
          <w:trHeight w:val="63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B40539" w:rsidRPr="00160565" w:rsidTr="00DF4118">
        <w:trPr>
          <w:trHeight w:val="3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40539" w:rsidRPr="00160565" w:rsidTr="00DF4118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Бюджетний кодекс України, Закон України «Про місцеве самоврядування в Україні», Закон України «Про зайнятість населення»</w:t>
            </w:r>
          </w:p>
        </w:tc>
      </w:tr>
      <w:tr w:rsidR="00B40539" w:rsidRPr="00160565" w:rsidTr="00DF4118">
        <w:trPr>
          <w:trHeight w:val="56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40539" w:rsidRPr="00160565" w:rsidTr="00DF4118">
        <w:trPr>
          <w:trHeight w:val="105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pStyle w:val="ListParagraph"/>
              <w:ind w:left="0" w:firstLine="709"/>
              <w:rPr>
                <w:sz w:val="28"/>
                <w:szCs w:val="28"/>
                <w:lang w:val="uk-UA"/>
              </w:rPr>
            </w:pPr>
            <w:r w:rsidRPr="00160565">
              <w:rPr>
                <w:sz w:val="28"/>
                <w:szCs w:val="28"/>
                <w:lang w:val="uk-UA"/>
              </w:rPr>
              <w:t xml:space="preserve">Розв’язання проблем є залучення широкого кола жителів сіл Степанки,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Хацьки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Бузуків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Малий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Бузуків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Залевки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Голов’ятине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Гуляйгородок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 до участі в громадських роботах, що дозволить шляхом їх матеріальної підтримки та адаптації до трудової діяльності знизити соціальну напругу, а також сприятиме вирішенню проблем, пов’язаних з благоустроєм села, ремонтом об’єктів соціальної сфери, </w:t>
            </w:r>
            <w:r w:rsidRPr="00160565">
              <w:rPr>
                <w:color w:val="000000"/>
                <w:sz w:val="28"/>
                <w:szCs w:val="28"/>
                <w:lang w:val="uk-UA"/>
              </w:rPr>
              <w:t>утримання у належному стані цвинтарів</w:t>
            </w:r>
            <w:r w:rsidRPr="00160565">
              <w:rPr>
                <w:sz w:val="28"/>
                <w:szCs w:val="28"/>
                <w:lang w:val="uk-UA"/>
              </w:rPr>
              <w:t xml:space="preserve"> тощо.</w:t>
            </w:r>
          </w:p>
        </w:tc>
      </w:tr>
      <w:tr w:rsidR="00B40539" w:rsidRPr="00160565" w:rsidTr="00DF4118">
        <w:trPr>
          <w:trHeight w:val="6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40539" w:rsidRPr="00160565" w:rsidTr="00DF4118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tabs>
                <w:tab w:val="left" w:pos="9354"/>
              </w:tabs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 незаборонених чинним законодавством</w:t>
            </w:r>
          </w:p>
        </w:tc>
      </w:tr>
      <w:tr w:rsidR="00B40539" w:rsidRPr="00160565" w:rsidTr="00DF4118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tabs>
                <w:tab w:val="left" w:pos="9354"/>
              </w:tabs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tabs>
                <w:tab w:val="left" w:pos="935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здійснюють:</w:t>
            </w:r>
          </w:p>
          <w:p w:rsidR="00B40539" w:rsidRPr="00160565" w:rsidRDefault="00B40539" w:rsidP="00DF4118">
            <w:pPr>
              <w:tabs>
                <w:tab w:val="left" w:pos="9354"/>
              </w:tabs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</w:tbl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Визначення проблеми, на розв’язання якої спрямована Програма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Протягом 2021 року скористались послугами підрозділу Черкаської обласної служби зайнятості у Черкаському районі 2847 осіб з числа незайнятого населення, протягом десяти місяців 2022 року – 1766 з числа незайнятого населення.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З метою протидії негативним проявам кризових явищ на ринку праці та зняття напруги серед зазначених верств населення підрозділами Черкаської обласної служби зайнятості у Черкаському районі проводилося залучення їх до громадських робіт.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Одним із важливих заходів підтримки цих людей у період вимушеного безробіття та пошуку роботи є залучення їх до участі в громадських роботах – найпростіших роботах, що потребують знань для використання простих завдань, у деяких випадках із використанням ручних інструментів та/або із значними фізичними зусиллями, та кваліфікованих роботах, що потребують кваліфікації та/або досвіду роботи, які організовуються з метою надання додаткової соціальної підтримки та забезпечення тимчасової зайнятості осіб, які шукають роботу.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Протягом 2021 року в громадських роботах взяли участь 23 особи з числа незайнятого населення, протягом десяти місяців 2022 року – 28 осіб з числа незайнятого населення. Оплата праці здійснювалась за кошти Фонду загальнообов’язкового державного соціального страхування на випадок безробіття (далі – Фонд) та/або кошти місцевих бюджетів.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Згідно із Законом України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зайнятість населення” від 05.07.2012 № 5067-VI, який набрав чинності з 1 січня 2013 року, </w:t>
      </w: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організації громадських робіт здійснюється за рахунок коштів місцевих бюджетів та/або коштів Фонду у разі участі в таких роботах зареєстрованих безробітних. 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Крім того, у 2023 році, з метою реалізації права на працю до таких робіт залучається зайняте населення, а саме учні та студенти у вільний від навчання час, пенсіонери, працюючі громадяни у вільний від роботи час, інші категорії зайнятого населення.</w:t>
      </w: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Програми</w:t>
      </w:r>
    </w:p>
    <w:p w:rsidR="00B40539" w:rsidRPr="00160565" w:rsidRDefault="00B40539" w:rsidP="00B40539">
      <w:pPr>
        <w:pStyle w:val="ListParagraph"/>
        <w:ind w:left="0" w:firstLine="360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 xml:space="preserve">Метою Програми є залучення широкого кола жителів с. Степанки,                         с.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с. </w:t>
      </w:r>
      <w:proofErr w:type="spellStart"/>
      <w:r w:rsidRPr="00160565">
        <w:rPr>
          <w:sz w:val="28"/>
          <w:szCs w:val="28"/>
          <w:lang w:val="uk-UA"/>
        </w:rPr>
        <w:t>Хацьки</w:t>
      </w:r>
      <w:proofErr w:type="spellEnd"/>
      <w:r w:rsidRPr="00160565">
        <w:rPr>
          <w:sz w:val="28"/>
          <w:szCs w:val="28"/>
          <w:lang w:val="uk-UA"/>
        </w:rPr>
        <w:t xml:space="preserve">, с. </w:t>
      </w:r>
      <w:proofErr w:type="spellStart"/>
      <w:r w:rsidRPr="00160565">
        <w:rPr>
          <w:sz w:val="28"/>
          <w:szCs w:val="28"/>
          <w:lang w:val="uk-UA"/>
        </w:rPr>
        <w:t>Голов’ятине</w:t>
      </w:r>
      <w:proofErr w:type="spellEnd"/>
      <w:r w:rsidRPr="00160565">
        <w:rPr>
          <w:sz w:val="28"/>
          <w:szCs w:val="28"/>
          <w:lang w:val="uk-UA"/>
        </w:rPr>
        <w:t xml:space="preserve">, с. Малий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с. </w:t>
      </w:r>
      <w:proofErr w:type="spellStart"/>
      <w:r w:rsidRPr="00160565">
        <w:rPr>
          <w:sz w:val="28"/>
          <w:szCs w:val="28"/>
          <w:lang w:val="uk-UA"/>
        </w:rPr>
        <w:t>Залевки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с.Гуляйгородок</w:t>
      </w:r>
      <w:proofErr w:type="spellEnd"/>
      <w:r w:rsidRPr="00160565">
        <w:rPr>
          <w:sz w:val="28"/>
          <w:szCs w:val="28"/>
          <w:lang w:val="uk-UA"/>
        </w:rPr>
        <w:t xml:space="preserve">  до участі в громадських роботах, що дозволить шляхом їх матеріальної підтримки та адаптації до трудової діяльності знизити соціальну напругу, а також сприятиме вирішенню проблем, пов’язаних з благоустроєм </w:t>
      </w:r>
      <w:r w:rsidRPr="00160565">
        <w:rPr>
          <w:sz w:val="28"/>
          <w:szCs w:val="28"/>
          <w:lang w:val="uk-UA"/>
        </w:rPr>
        <w:lastRenderedPageBreak/>
        <w:t xml:space="preserve">села, ремонтом об’єктів соціальної сфери, </w:t>
      </w:r>
      <w:r w:rsidRPr="00160565">
        <w:rPr>
          <w:color w:val="000000"/>
          <w:sz w:val="28"/>
          <w:szCs w:val="28"/>
          <w:lang w:val="uk-UA"/>
        </w:rPr>
        <w:t>утримання у належному стані цвинтарів</w:t>
      </w:r>
      <w:r w:rsidRPr="00160565">
        <w:rPr>
          <w:sz w:val="28"/>
          <w:szCs w:val="28"/>
          <w:lang w:val="uk-UA"/>
        </w:rPr>
        <w:t xml:space="preserve"> тощо.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забезпечення тимчасової зайнятості осіб, які шукають роботу;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соціальна підтримка безробітних, в першу чергу тих, хто не може на рівних конкурувати на ринку праці і потребує додаткового соціального захисту;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забезпечення додатковим заробітком осіб з числа зайнятого населення;</w:t>
      </w: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Обґрунтування шляхів та засобів вирішення проблеми, строки виконання Програми</w:t>
      </w:r>
    </w:p>
    <w:p w:rsidR="00B40539" w:rsidRPr="00160565" w:rsidRDefault="00B40539" w:rsidP="00B40539">
      <w:pPr>
        <w:pStyle w:val="ListParagraph"/>
        <w:ind w:left="0" w:firstLine="360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 xml:space="preserve">Засобами вирішення проблеми соціального захисту населення с. Степанки,         с.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с. </w:t>
      </w:r>
      <w:proofErr w:type="spellStart"/>
      <w:r w:rsidRPr="00160565">
        <w:rPr>
          <w:sz w:val="28"/>
          <w:szCs w:val="28"/>
          <w:lang w:val="uk-UA"/>
        </w:rPr>
        <w:t>Хацьки</w:t>
      </w:r>
      <w:proofErr w:type="spellEnd"/>
      <w:r w:rsidRPr="00160565">
        <w:rPr>
          <w:sz w:val="28"/>
          <w:szCs w:val="28"/>
          <w:lang w:val="uk-UA"/>
        </w:rPr>
        <w:t xml:space="preserve">, с. </w:t>
      </w:r>
      <w:proofErr w:type="spellStart"/>
      <w:r w:rsidRPr="00160565">
        <w:rPr>
          <w:sz w:val="28"/>
          <w:szCs w:val="28"/>
          <w:lang w:val="uk-UA"/>
        </w:rPr>
        <w:t>Голов’ятине</w:t>
      </w:r>
      <w:proofErr w:type="spellEnd"/>
      <w:r w:rsidRPr="00160565">
        <w:rPr>
          <w:sz w:val="28"/>
          <w:szCs w:val="28"/>
          <w:lang w:val="uk-UA"/>
        </w:rPr>
        <w:t xml:space="preserve">, с. Малий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с. </w:t>
      </w:r>
      <w:proofErr w:type="spellStart"/>
      <w:r w:rsidRPr="00160565">
        <w:rPr>
          <w:sz w:val="28"/>
          <w:szCs w:val="28"/>
          <w:lang w:val="uk-UA"/>
        </w:rPr>
        <w:t>Залевки</w:t>
      </w:r>
      <w:proofErr w:type="spellEnd"/>
      <w:r w:rsidRPr="00160565">
        <w:rPr>
          <w:sz w:val="28"/>
          <w:szCs w:val="28"/>
          <w:lang w:val="uk-UA"/>
        </w:rPr>
        <w:t xml:space="preserve">,                                    с. </w:t>
      </w:r>
      <w:proofErr w:type="spellStart"/>
      <w:r w:rsidRPr="00160565">
        <w:rPr>
          <w:sz w:val="28"/>
          <w:szCs w:val="28"/>
          <w:lang w:val="uk-UA"/>
        </w:rPr>
        <w:t>Гуляйгородок</w:t>
      </w:r>
      <w:proofErr w:type="spellEnd"/>
      <w:r w:rsidRPr="00160565">
        <w:rPr>
          <w:sz w:val="28"/>
          <w:szCs w:val="28"/>
          <w:lang w:val="uk-UA"/>
        </w:rPr>
        <w:t xml:space="preserve">  на які спрямована Програма, відповідно до Закону України </w:t>
      </w:r>
      <w:proofErr w:type="spellStart"/>
      <w:r w:rsidRPr="00160565">
        <w:rPr>
          <w:sz w:val="28"/>
          <w:szCs w:val="28"/>
          <w:lang w:val="uk-UA"/>
        </w:rPr>
        <w:t>„Про</w:t>
      </w:r>
      <w:proofErr w:type="spellEnd"/>
      <w:r w:rsidRPr="00160565">
        <w:rPr>
          <w:sz w:val="28"/>
          <w:szCs w:val="28"/>
          <w:lang w:val="uk-UA"/>
        </w:rPr>
        <w:t xml:space="preserve"> зайнятість населення”, є надання можливості участі в громадських роботах – найпростіших роботах, що потребують знань для використання простих завдань, у деяких випадках із використанням ручних інструментів та/або із значними фізичними зусиллями, та кваліфікованих роботах, що потребують кваліфікації та/або досвіду роботи, які організовуються з метою надання додаткової соціальної підтримки та забезпечення тимчасової зайнятості осіб. </w:t>
      </w:r>
    </w:p>
    <w:p w:rsidR="00B40539" w:rsidRPr="00160565" w:rsidRDefault="00B40539" w:rsidP="00B40539">
      <w:pPr>
        <w:pStyle w:val="ListParagraph"/>
        <w:ind w:left="360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>Строк виконання Програми – 202</w:t>
      </w:r>
      <w:r>
        <w:rPr>
          <w:sz w:val="28"/>
          <w:szCs w:val="28"/>
          <w:lang w:val="uk-UA"/>
        </w:rPr>
        <w:t>4</w:t>
      </w:r>
      <w:bookmarkStart w:id="0" w:name="_GoBack"/>
      <w:bookmarkEnd w:id="0"/>
      <w:r w:rsidRPr="00160565">
        <w:rPr>
          <w:sz w:val="28"/>
          <w:szCs w:val="28"/>
          <w:lang w:val="uk-UA"/>
        </w:rPr>
        <w:t xml:space="preserve"> рік.</w:t>
      </w: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Перелік видів громадських робіт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 xml:space="preserve">Упорядження меморіалів, пам'ятників, територій навколо них, історико-культурних заповідників, братських могил та інших місць поховання загиблих захисників Вітчизни.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>Утримання у належному стані цвинтарів.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Благоустрій та озеленення територій населених пунктів (зокрема, територій дошкільних навчальних закладів та загальноосвітніх шкіл, спортивних майданчиків, стадіонів, зон відпочинку та туризму, закладів культури, охорони здоров’я), прибирання снігу.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Ремонт та будівництво дошкільних навчальних закладів та загальноосвітніх шкіл, лікарень, закладів культури, будинків для осіб похилого віку та інвалідів.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Підсобні роботи на ремонті приватних житлових будинків одиноких осіб з числа ветеранів війни та інвалідів, що проводяться за рішенням органів місцевого самоврядування.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Впорядкування територій населених пунктів з метою ліквідації наслідків надзвичайних ситуацій, визнаних рішенням органів місцевого самоврядування.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Роботи в архівах з документацією: підшивання справ, нумерація аркушів у справах, каталогізація, формування документів у справу,  складання внутрішніх описів до справ фондів і наглядових справ.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>І</w:t>
      </w:r>
      <w:proofErr w:type="spellStart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>нформування</w:t>
      </w:r>
      <w:proofErr w:type="spellEnd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>населення</w:t>
      </w:r>
      <w:proofErr w:type="spellEnd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>стосовно</w:t>
      </w:r>
      <w:proofErr w:type="spellEnd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 xml:space="preserve"> порядку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отримання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житлових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субсидій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технічної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підготовки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документації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proofErr w:type="spellStart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>кур'єрської</w:t>
      </w:r>
      <w:proofErr w:type="spellEnd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 xml:space="preserve"> доставки </w:t>
      </w:r>
      <w:proofErr w:type="spellStart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>документів</w:t>
      </w:r>
      <w:proofErr w:type="spellEnd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 xml:space="preserve"> та </w:t>
      </w:r>
      <w:proofErr w:type="spellStart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>запитів</w:t>
      </w:r>
      <w:proofErr w:type="spellEnd"/>
      <w:r w:rsidRPr="0016056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6056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І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нформування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порушень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громадського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порядку.</w:t>
      </w:r>
      <w:r w:rsidRPr="00160565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Допоміжні роботи у домоволодіннях осіб з інвалідністю або одиноких непрацездатних громадян.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Надання соціальних послуг особам,  які брали участь у воєнних діях, їх сім’ям, особам, які постраждали внаслідок бойових дій під час воєнного стану в Україні.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Супровід та соціальне обслуговування осіб з вадами зору.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Роботи з екологічного захисту навколишнього середовища (зокрема санітарне очищення території населеного пункту).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Кур’єрська доставка товарів першої необхідності людям похилого віку;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Виготовлення засобів індивідуального захисту від інфекційних захворювань.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Надання соціальних послуг особам, які постраждали внаслідок збройної агресії російської федерації проти України у період дії правового режиму воєнного стану, у тому числі внутрішньо переміщеним особам; участь            у ремонті, упорядкуванні, будівництві об’єктів, які будуть використовуватися для проживання зазначених категорій осіб;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Надання соціальних послуг сім’ям осіб, які загинули під час участі                  у здійсненні заходів із забезпечення національної безпеки і оборони, відсічі   і стримування збройної агресії російської федерації;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Надання соціальних послуг сім’ям осіб військовослужбовців, які беруть участь у здійсненні заходів із забезпечення національної безпеки                      і оборони, відсічі і стримування збройної агресії російської федерації;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Допоміжні роботи під час збору, сортування, фасування, складання, розвантаження, видачі гуманітарної допомоги;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Облаштування та укріплення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блок-постів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>, вирубка дерев для формування окопів;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Заготівля дров для військових та населення;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Розбір завалів та відновлення житлових будинків, інших приміщень, пошкоджених у результаті збройної агресії російської федерації;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Розчищення автомобільних доріг від завалів;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Облаштування підвальних приміщень у будинках, школах, інших об’єктах під укриття.</w:t>
      </w: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Джерела фінансування Програми</w:t>
      </w:r>
    </w:p>
    <w:p w:rsidR="00B40539" w:rsidRPr="00160565" w:rsidRDefault="00B40539" w:rsidP="00B40539">
      <w:pPr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Для забезпечення реалізації Програми передбачаються  кошти місцевого бюджету, виходячи з його фінансових можливостей .</w:t>
      </w:r>
    </w:p>
    <w:p w:rsidR="00B40539" w:rsidRPr="00160565" w:rsidRDefault="00B40539" w:rsidP="00B40539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Обсяги видатків на виконання Програми з місцевого бюджету визначаються з дотриманням бюджетного законодавства та з урахуванням </w:t>
      </w:r>
      <w:r w:rsidRPr="00160565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пропозицій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підрозділу Черкаської обласної служби зайнятості у Черкаському  районі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Також до фінансування Програми залучаються кошти: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Фонду загальнообов’язкового державного соціального страхування України на випадок безробіття;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інших джерел, не заборонених чинним законодавством.</w:t>
      </w: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Контроль за ходом виконання Програми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Контроль за ходом виконання Програми покладається на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Степанківську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сільську раду, яка повинна забезпечити виконання затверджених заходів та інформувати про виконання заходів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підрозділ Черкаської обласної служби зайнятості у Черкаському районі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Очікуваний кінцевий результат Програми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Виконання Програми надасть змогу знизити соціальну напругу, сприятиме вирішенню проблем, пов’язаних з благоустроєм села, ремонтом об’єктів соціальної сфери, </w:t>
      </w: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>утримання у належному стані цвинтарів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Результативні показники, що характеризують виконання Програми: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581"/>
        <w:gridCol w:w="1409"/>
        <w:gridCol w:w="2667"/>
        <w:gridCol w:w="1336"/>
      </w:tblGrid>
      <w:tr w:rsidR="00B40539" w:rsidRPr="00160565" w:rsidTr="00DF411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Джерело інформації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</w:tr>
      <w:tr w:rsidR="00B40539" w:rsidRPr="00160565" w:rsidTr="00DF411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безробітних, які проживають на території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та будуть перебувати на обліку в </w:t>
            </w: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підрозділі Черкаської обласної служби зайнятості у Черкаському районі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 Черкаської обласної служби зайнятості у Черкаському районі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B40539" w:rsidRPr="00160565" w:rsidTr="00DF411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безробітних, які проживають на території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та будуть перебувати на обліку в </w:t>
            </w: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підрозділі Черкаської обласної служби зайнятості у Черкаському районі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будуть залучені до 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громадських робіт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осіб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 Черкаської обласної служби зайнятості у Черкаському районі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B40539" w:rsidRPr="00160565" w:rsidTr="00DF411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Питома вага безробітних-учасників громадських робіт у загальній кількості безробітних, які будуть перебувати на обліку в </w:t>
            </w: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підрозділі Черкаської обласної служби зайнятості у Черкаському районі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(гр.2/гр.1)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 Черкаської обласної служби зайнятості у Черкаському районі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B40539" w:rsidRPr="00160565" w:rsidTr="00DF4118">
        <w:trPr>
          <w:trHeight w:val="803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осіб з числа зайнятого населення, які  проживають на території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та будуть залучені до громадських робіт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1605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1605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60565">
              <w:rPr>
                <w:rFonts w:ascii="Times New Roman" w:hAnsi="Times New Roman"/>
                <w:sz w:val="18"/>
                <w:szCs w:val="18"/>
                <w:lang w:val="uk-UA"/>
              </w:rPr>
              <w:t>(кількість)</w:t>
            </w:r>
          </w:p>
        </w:tc>
      </w:tr>
      <w:tr w:rsidR="00B40539" w:rsidRPr="00160565" w:rsidTr="00DF4118">
        <w:trPr>
          <w:trHeight w:val="803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39" w:rsidRPr="00160565" w:rsidRDefault="00B40539" w:rsidP="00DF411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Підрозділ Черкаської обласної служби зайнятості у Черкаському районі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39" w:rsidRPr="00160565" w:rsidRDefault="00B40539" w:rsidP="00DF41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-----</w:t>
            </w:r>
          </w:p>
        </w:tc>
      </w:tr>
    </w:tbl>
    <w:p w:rsidR="00B40539" w:rsidRPr="00160565" w:rsidRDefault="00B40539" w:rsidP="00B40539">
      <w:pPr>
        <w:pStyle w:val="NoSpacing"/>
        <w:rPr>
          <w:szCs w:val="28"/>
          <w:lang w:val="uk-UA"/>
        </w:rPr>
      </w:pPr>
    </w:p>
    <w:p w:rsidR="00B40539" w:rsidRPr="00160565" w:rsidRDefault="00B40539" w:rsidP="00B40539">
      <w:pPr>
        <w:pStyle w:val="NoSpacing"/>
        <w:rPr>
          <w:szCs w:val="28"/>
          <w:lang w:val="uk-UA"/>
        </w:rPr>
      </w:pPr>
    </w:p>
    <w:p w:rsidR="00B40539" w:rsidRPr="00160565" w:rsidRDefault="00B40539" w:rsidP="00B40539">
      <w:pPr>
        <w:pStyle w:val="NoSpacing"/>
        <w:rPr>
          <w:szCs w:val="28"/>
          <w:lang w:val="uk-UA"/>
        </w:rPr>
      </w:pPr>
      <w:r w:rsidRPr="00160565">
        <w:rPr>
          <w:szCs w:val="28"/>
          <w:lang w:val="uk-UA"/>
        </w:rPr>
        <w:t xml:space="preserve">Секретар сільської ради </w:t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  <w:t xml:space="preserve">  Інна НЕВГОД</w:t>
      </w: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160565">
        <w:rPr>
          <w:rFonts w:ascii="Times New Roman" w:hAnsi="Times New Roman"/>
          <w:noProof/>
          <w:sz w:val="28"/>
          <w:szCs w:val="28"/>
          <w:lang w:val="uk-UA" w:eastAsia="ru-RU"/>
        </w:rPr>
        <w:t>ЗАМІНЕНО</w:t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565"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>Тридцята сесія восьмого скликання</w:t>
      </w:r>
    </w:p>
    <w:p w:rsidR="00B40539" w:rsidRPr="00160565" w:rsidRDefault="00B40539" w:rsidP="00B40539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        РІШЕННЯ</w:t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>02.</w:t>
      </w:r>
      <w:r w:rsidRPr="00160565">
        <w:rPr>
          <w:rFonts w:ascii="Times New Roman" w:hAnsi="Times New Roman"/>
          <w:b/>
          <w:sz w:val="28"/>
          <w:szCs w:val="28"/>
        </w:rPr>
        <w:t>1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2.2022 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№30-66/</w:t>
      </w:r>
      <w:r w:rsidRPr="0016056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60565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  <w:r w:rsidRPr="00160565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 xml:space="preserve">«Про громадські роботи» </w:t>
      </w: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>на 2023 рік</w:t>
      </w:r>
    </w:p>
    <w:p w:rsidR="00B40539" w:rsidRPr="00160565" w:rsidRDefault="00B40539" w:rsidP="00B405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Відповідно до пунктів 22 частини 1 статті 26, пунктів 1,6 статті 47 Закону України «Про місцеве самоврядування в Україні», частини 1 статті 17, частини 4 статті 18, частини 2 статті 31 Закону України «Про зайнятість населення»,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lang w:val="uk-UA"/>
        </w:rPr>
      </w:pPr>
      <w:r w:rsidRPr="0016056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40539" w:rsidRPr="00160565" w:rsidRDefault="00B40539" w:rsidP="00B4053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1. З метою тимчасової зайнятості осіб місцевої територіальної громади затвердити Програму «Про громадські роботи» на 2023 рік (далі – Програма), що додається.</w:t>
      </w:r>
    </w:p>
    <w:p w:rsidR="00B40539" w:rsidRPr="00160565" w:rsidRDefault="00B40539" w:rsidP="00B4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ab/>
        <w:t xml:space="preserve">2. Фінансування заходів Програми здійснювати у межах видатків, передбачених бюджетом 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 xml:space="preserve"> територіальної громади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ради на 2022 рік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та інші джерела фінансування, не заборонені законодавством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  <w:r w:rsidRPr="0016056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40539" w:rsidRPr="00160565" w:rsidRDefault="00B40539" w:rsidP="00B40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60565">
        <w:rPr>
          <w:rFonts w:ascii="Times New Roman" w:hAnsi="Times New Roman"/>
          <w:sz w:val="28"/>
          <w:szCs w:val="28"/>
          <w:lang w:val="uk-UA" w:eastAsia="uk-UA"/>
        </w:rPr>
        <w:t xml:space="preserve">3. Виконавчому комітету </w:t>
      </w:r>
      <w:proofErr w:type="spellStart"/>
      <w:r w:rsidRPr="00160565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160565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забезпечити виконання даної програми.</w:t>
      </w: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ab/>
        <w:t>4. Контроль за виконанням даного рішення покласти на постійно діючу депутатську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ind w:firstLine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160565">
        <w:rPr>
          <w:rFonts w:ascii="Times New Roman" w:hAnsi="Times New Roman"/>
          <w:sz w:val="24"/>
          <w:szCs w:val="28"/>
          <w:lang w:val="uk-UA"/>
        </w:rPr>
        <w:t xml:space="preserve">Додаток </w:t>
      </w:r>
    </w:p>
    <w:p w:rsidR="00B40539" w:rsidRPr="00160565" w:rsidRDefault="00B40539" w:rsidP="00B40539">
      <w:pPr>
        <w:pStyle w:val="a3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 w:rsidRPr="00160565"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 w:rsidRPr="00160565"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160565"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B40539" w:rsidRPr="00160565" w:rsidRDefault="00B40539" w:rsidP="00B40539">
      <w:pPr>
        <w:pStyle w:val="a3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160565">
        <w:rPr>
          <w:rFonts w:ascii="Times New Roman" w:hAnsi="Times New Roman"/>
          <w:sz w:val="24"/>
          <w:szCs w:val="28"/>
          <w:lang w:val="uk-UA"/>
        </w:rPr>
        <w:tab/>
      </w:r>
      <w:r w:rsidRPr="00160565">
        <w:rPr>
          <w:rFonts w:ascii="Times New Roman" w:hAnsi="Times New Roman"/>
          <w:sz w:val="24"/>
          <w:szCs w:val="28"/>
          <w:lang w:val="uk-UA"/>
        </w:rPr>
        <w:tab/>
        <w:t>від 02.12.2022 №30-66/VІІІ</w:t>
      </w:r>
    </w:p>
    <w:p w:rsidR="00B40539" w:rsidRPr="00160565" w:rsidRDefault="00B40539" w:rsidP="00B40539">
      <w:pPr>
        <w:pStyle w:val="2"/>
        <w:spacing w:after="0" w:line="240" w:lineRule="auto"/>
        <w:ind w:left="4956" w:firstLine="6"/>
        <w:jc w:val="both"/>
        <w:rPr>
          <w:sz w:val="28"/>
          <w:szCs w:val="28"/>
          <w:lang w:val="uk-UA"/>
        </w:rPr>
      </w:pPr>
    </w:p>
    <w:p w:rsidR="00B40539" w:rsidRPr="00160565" w:rsidRDefault="00B40539" w:rsidP="00B40539">
      <w:pPr>
        <w:pStyle w:val="2"/>
        <w:spacing w:after="0" w:line="240" w:lineRule="auto"/>
        <w:ind w:left="4956" w:firstLine="6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>ЗАТВЕРДЖЕНО</w:t>
      </w:r>
    </w:p>
    <w:p w:rsidR="00B40539" w:rsidRPr="00160565" w:rsidRDefault="00B40539" w:rsidP="00B40539">
      <w:pPr>
        <w:pStyle w:val="2"/>
        <w:spacing w:after="0" w:line="240" w:lineRule="auto"/>
        <w:ind w:left="4956" w:firstLine="6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 xml:space="preserve">рішення </w:t>
      </w:r>
      <w:proofErr w:type="spellStart"/>
      <w:r w:rsidRPr="00160565">
        <w:rPr>
          <w:sz w:val="28"/>
          <w:szCs w:val="28"/>
          <w:lang w:val="uk-UA"/>
        </w:rPr>
        <w:t>Степанківської</w:t>
      </w:r>
      <w:proofErr w:type="spellEnd"/>
      <w:r w:rsidRPr="00160565">
        <w:rPr>
          <w:sz w:val="28"/>
          <w:szCs w:val="28"/>
          <w:lang w:val="uk-UA"/>
        </w:rPr>
        <w:t xml:space="preserve"> сільської ради </w:t>
      </w:r>
    </w:p>
    <w:p w:rsidR="00B40539" w:rsidRPr="00160565" w:rsidRDefault="00B40539" w:rsidP="00B40539">
      <w:pPr>
        <w:pStyle w:val="Default"/>
        <w:ind w:left="4248" w:firstLine="708"/>
        <w:jc w:val="both"/>
        <w:rPr>
          <w:lang w:val="uk-UA"/>
        </w:rPr>
      </w:pPr>
      <w:r w:rsidRPr="00160565">
        <w:rPr>
          <w:rFonts w:eastAsia="Times New Roman"/>
          <w:color w:val="auto"/>
          <w:sz w:val="28"/>
          <w:szCs w:val="28"/>
          <w:lang w:val="uk-UA" w:eastAsia="ru-RU"/>
        </w:rPr>
        <w:t>від 02.12.2022 №30-66/VІІІ</w:t>
      </w:r>
    </w:p>
    <w:p w:rsidR="00B40539" w:rsidRPr="00160565" w:rsidRDefault="00B40539" w:rsidP="00B40539">
      <w:pPr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0565">
        <w:rPr>
          <w:rFonts w:ascii="Times New Roman" w:hAnsi="Times New Roman"/>
          <w:b/>
          <w:sz w:val="32"/>
          <w:szCs w:val="32"/>
          <w:lang w:val="uk-UA"/>
        </w:rPr>
        <w:t xml:space="preserve">ПРОГРАМА </w:t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0565">
        <w:rPr>
          <w:rFonts w:ascii="Times New Roman" w:hAnsi="Times New Roman"/>
          <w:b/>
          <w:sz w:val="32"/>
          <w:szCs w:val="32"/>
          <w:lang w:val="uk-UA"/>
        </w:rPr>
        <w:t>«Про громадські роботи» на 2023 рік</w:t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spacing w:before="100" w:beforeAutospacing="1" w:after="100" w:afterAutospacing="1"/>
        <w:rPr>
          <w:rFonts w:ascii="Times New Roman" w:hAnsi="Times New Roman"/>
          <w:bCs/>
          <w:lang w:val="uk-UA"/>
        </w:rPr>
      </w:pPr>
    </w:p>
    <w:p w:rsidR="00B40539" w:rsidRPr="00160565" w:rsidRDefault="00B40539" w:rsidP="00B40539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60565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:rsidR="00B40539" w:rsidRPr="00160565" w:rsidRDefault="00B40539" w:rsidP="00B40539">
      <w:pPr>
        <w:pStyle w:val="a3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60565">
        <w:rPr>
          <w:rFonts w:ascii="Times New Roman" w:hAnsi="Times New Roman"/>
          <w:sz w:val="28"/>
          <w:szCs w:val="28"/>
          <w:lang w:val="uk-UA" w:eastAsia="ru-RU"/>
        </w:rPr>
        <w:t>2022 рік</w:t>
      </w:r>
    </w:p>
    <w:p w:rsidR="00B40539" w:rsidRPr="00160565" w:rsidRDefault="00B40539" w:rsidP="00B40539">
      <w:pPr>
        <w:tabs>
          <w:tab w:val="left" w:pos="915"/>
          <w:tab w:val="center" w:pos="471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40539" w:rsidRPr="00160565" w:rsidRDefault="00B40539" w:rsidP="00B40539">
      <w:pPr>
        <w:tabs>
          <w:tab w:val="left" w:pos="915"/>
          <w:tab w:val="center" w:pos="471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Cs/>
          <w:sz w:val="28"/>
          <w:szCs w:val="28"/>
          <w:lang w:val="uk-UA"/>
        </w:rPr>
        <w:t>ЗМІСТ</w:t>
      </w:r>
    </w:p>
    <w:p w:rsidR="00B40539" w:rsidRPr="00160565" w:rsidRDefault="00B40539" w:rsidP="00B40539">
      <w:pPr>
        <w:tabs>
          <w:tab w:val="left" w:pos="915"/>
          <w:tab w:val="center" w:pos="471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  <w:gridCol w:w="390"/>
      </w:tblGrid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Паспорт Програми……………………………………………………………….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3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spacing w:val="0"/>
                <w:lang w:val="uk-UA"/>
              </w:rPr>
            </w:pPr>
            <w:r w:rsidRPr="00160565">
              <w:rPr>
                <w:lang w:val="uk-UA"/>
              </w:rPr>
              <w:t>Розділ 1. Визначення проблеми, на розв’язання, якої спрямована Програма…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spacing w:val="0"/>
                <w:lang w:val="uk-UA"/>
              </w:rPr>
            </w:pPr>
            <w:r w:rsidRPr="00160565">
              <w:rPr>
                <w:lang w:val="uk-UA"/>
              </w:rPr>
              <w:t>4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spacing w:val="0"/>
                <w:lang w:val="uk-UA"/>
              </w:rPr>
            </w:pPr>
            <w:r w:rsidRPr="00160565">
              <w:rPr>
                <w:lang w:val="uk-UA"/>
              </w:rPr>
              <w:t>Розділ 2. Мета Програми………………………………………………………...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4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iCs/>
                <w:lang w:val="uk-UA"/>
              </w:rPr>
              <w:t>Розділ 3. Завдання Програми……………………………………………………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5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Розділ 4.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Обґрунтування шляхів та засобів вирішення проблеми, строки виконання Програми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160565">
              <w:rPr>
                <w:rFonts w:ascii="Times New Roman" w:hAnsi="Times New Roman"/>
                <w:spacing w:val="-6"/>
                <w:sz w:val="28"/>
                <w:szCs w:val="28"/>
                <w:lang w:val="uk-UA" w:eastAsia="ru-RU"/>
              </w:rPr>
              <w:t>5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5. Перелік видів громадських робіт…………………………..………..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5</w:t>
            </w:r>
          </w:p>
        </w:tc>
      </w:tr>
      <w:tr w:rsidR="00B40539" w:rsidRPr="00160565" w:rsidTr="00DF4118">
        <w:trPr>
          <w:trHeight w:val="228"/>
        </w:trPr>
        <w:tc>
          <w:tcPr>
            <w:tcW w:w="9181" w:type="dxa"/>
          </w:tcPr>
          <w:p w:rsidR="00B40539" w:rsidRPr="00160565" w:rsidRDefault="00B40539" w:rsidP="00DF4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 6. </w:t>
            </w: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Джерела фінансування Програми…………………...</w:t>
            </w: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6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Розділ 7. Контроль за ходом виконання Програми…..……………………....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6</w:t>
            </w:r>
          </w:p>
        </w:tc>
      </w:tr>
      <w:tr w:rsidR="00B40539" w:rsidRPr="00160565" w:rsidTr="00DF4118">
        <w:tc>
          <w:tcPr>
            <w:tcW w:w="9181" w:type="dxa"/>
          </w:tcPr>
          <w:p w:rsidR="00B40539" w:rsidRPr="00160565" w:rsidRDefault="00B40539" w:rsidP="00DF4118">
            <w:pPr>
              <w:pStyle w:val="1"/>
              <w:rPr>
                <w:bCs/>
                <w:lang w:val="uk-UA"/>
              </w:rPr>
            </w:pPr>
            <w:r w:rsidRPr="00160565">
              <w:rPr>
                <w:bCs/>
                <w:lang w:val="uk-UA"/>
              </w:rPr>
              <w:t>Розділ 8. Очікуваний кінцевий результат Програми………………………….....</w:t>
            </w:r>
          </w:p>
        </w:tc>
        <w:tc>
          <w:tcPr>
            <w:tcW w:w="390" w:type="dxa"/>
          </w:tcPr>
          <w:p w:rsidR="00B40539" w:rsidRPr="00160565" w:rsidRDefault="00B40539" w:rsidP="00DF4118">
            <w:pPr>
              <w:pStyle w:val="1"/>
              <w:rPr>
                <w:lang w:val="uk-UA"/>
              </w:rPr>
            </w:pPr>
            <w:r w:rsidRPr="00160565">
              <w:rPr>
                <w:lang w:val="uk-UA"/>
              </w:rPr>
              <w:t>7</w:t>
            </w:r>
          </w:p>
        </w:tc>
      </w:tr>
    </w:tbl>
    <w:p w:rsidR="00B40539" w:rsidRPr="00160565" w:rsidRDefault="00B40539" w:rsidP="00B40539">
      <w:pPr>
        <w:pStyle w:val="1"/>
      </w:pP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tabs>
          <w:tab w:val="left" w:pos="355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ab/>
      </w: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br w:type="page"/>
      </w:r>
      <w:r w:rsidRPr="00160565">
        <w:rPr>
          <w:rFonts w:ascii="Times New Roman" w:hAnsi="Times New Roman"/>
          <w:sz w:val="28"/>
          <w:szCs w:val="28"/>
          <w:lang w:val="uk-UA"/>
        </w:rPr>
        <w:lastRenderedPageBreak/>
        <w:t xml:space="preserve">Паспорт Програми </w:t>
      </w:r>
    </w:p>
    <w:p w:rsidR="00B40539" w:rsidRPr="00160565" w:rsidRDefault="00B40539" w:rsidP="00B40539">
      <w:pPr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790"/>
      </w:tblGrid>
      <w:tr w:rsidR="00B40539" w:rsidRPr="00160565" w:rsidTr="00DF4118">
        <w:trPr>
          <w:trHeight w:val="3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Про громадські роботи на 2023 рік</w:t>
            </w:r>
          </w:p>
        </w:tc>
      </w:tr>
      <w:tr w:rsidR="00B40539" w:rsidRPr="00160565" w:rsidTr="00DF4118">
        <w:trPr>
          <w:trHeight w:val="63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B40539" w:rsidRPr="00160565" w:rsidTr="00DF4118">
        <w:trPr>
          <w:trHeight w:val="3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40539" w:rsidRPr="00160565" w:rsidTr="00DF4118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Бюджетний кодекс України, Закон України «Про місцеве самоврядування в Україні», Закон України «Про зайнятість населення»</w:t>
            </w:r>
          </w:p>
        </w:tc>
      </w:tr>
      <w:tr w:rsidR="00B40539" w:rsidRPr="00160565" w:rsidTr="00DF4118">
        <w:trPr>
          <w:trHeight w:val="56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B40539" w:rsidRPr="00160565" w:rsidTr="00DF4118">
        <w:trPr>
          <w:trHeight w:val="105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pStyle w:val="ListParagraph"/>
              <w:ind w:left="0" w:firstLine="709"/>
              <w:rPr>
                <w:sz w:val="28"/>
                <w:szCs w:val="28"/>
                <w:lang w:val="uk-UA"/>
              </w:rPr>
            </w:pPr>
            <w:r w:rsidRPr="00160565">
              <w:rPr>
                <w:sz w:val="28"/>
                <w:szCs w:val="28"/>
                <w:lang w:val="uk-UA"/>
              </w:rPr>
              <w:t xml:space="preserve">Розв’язання проблем є залучення широкого кола жителів сіл Степанки,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Хацьки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Бузуків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Малий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Бузуків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Залевки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Голов’ятине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160565">
              <w:rPr>
                <w:sz w:val="28"/>
                <w:szCs w:val="28"/>
                <w:lang w:val="uk-UA"/>
              </w:rPr>
              <w:t>Гуляйгородок</w:t>
            </w:r>
            <w:proofErr w:type="spellEnd"/>
            <w:r w:rsidRPr="00160565">
              <w:rPr>
                <w:sz w:val="28"/>
                <w:szCs w:val="28"/>
                <w:lang w:val="uk-UA"/>
              </w:rPr>
              <w:t xml:space="preserve"> до участі в громадських роботах, що дозволить шляхом їх матеріальної підтримки та адаптації до трудової діяльності знизити соціальну напругу, а також сприятиме вирішенню проблем, пов’язаних з благоустроєм села, ремонтом об’єктів соціальної сфери, </w:t>
            </w:r>
            <w:r w:rsidRPr="00160565">
              <w:rPr>
                <w:color w:val="000000"/>
                <w:sz w:val="28"/>
                <w:szCs w:val="28"/>
                <w:lang w:val="uk-UA"/>
              </w:rPr>
              <w:t>утримання у належному стані цвинтарів</w:t>
            </w:r>
            <w:r w:rsidRPr="00160565">
              <w:rPr>
                <w:sz w:val="28"/>
                <w:szCs w:val="28"/>
                <w:lang w:val="uk-UA"/>
              </w:rPr>
              <w:t xml:space="preserve"> тощо.</w:t>
            </w:r>
          </w:p>
        </w:tc>
      </w:tr>
      <w:tr w:rsidR="00B40539" w:rsidRPr="00160565" w:rsidTr="00DF4118">
        <w:trPr>
          <w:trHeight w:val="6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</w:tr>
      <w:tr w:rsidR="00B40539" w:rsidRPr="00160565" w:rsidTr="00DF4118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 незаборонених чинним законодавством</w:t>
            </w:r>
          </w:p>
        </w:tc>
      </w:tr>
      <w:tr w:rsidR="00B40539" w:rsidRPr="00160565" w:rsidTr="00DF4118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39" w:rsidRPr="00160565" w:rsidRDefault="00B40539" w:rsidP="00DF4118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здійснюють:</w:t>
            </w:r>
          </w:p>
          <w:p w:rsidR="00B40539" w:rsidRPr="00160565" w:rsidRDefault="00B40539" w:rsidP="00DF4118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160565">
              <w:rPr>
                <w:rFonts w:ascii="Times New Roman" w:hAnsi="Times New Roman"/>
                <w:sz w:val="28"/>
                <w:szCs w:val="28"/>
                <w:lang w:val="uk-UA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</w:tbl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rPr>
          <w:rFonts w:ascii="Times New Roman" w:hAnsi="Times New Roman"/>
          <w:lang w:val="uk-UA"/>
        </w:rPr>
      </w:pPr>
    </w:p>
    <w:p w:rsidR="00B40539" w:rsidRPr="00160565" w:rsidRDefault="00B40539" w:rsidP="00B40539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РОЗДІЛ І. Визначення проблеми, на розв’язання, якої спрямована Програма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З метою протидії негативним проявам кризових явищ на ринку праці та зняття напруги серед зазначених верств населення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підрозділом Черкаської обласної служби зайнятості у Черкаському районі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проводилося залучення їх до громадських робіт.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Одним із важливих заходів підтримки цих людей у період вимушеного безробіття та пошуку роботи є залучення їх до участі в громадських роботах – найпростіших роботах, що потребують знань для використання простих завдань, у деяких випадках із використанням ручних інструментів та/або із значними фізичними зусиллями, та кваліфікованих роботах, що потребують кваліфікації та/або досвіду роботи, які організовуються з метою надання додаткової соціальної підтримки та забезпечення тимчасової зайнятості осіб, які шукають роботу.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Протягом 2019 року в громадських роботах взяли участь 265 осіб з числа незайнятого населення, протягом одинадцяти місяців 2020 року – 220 особи з числа незайнятого населення. Оплата праці здійснювалась за кошти Фонду загальнообов’язкового державного соціального страхування на випадок безробіття (далі – Фонд) та/або кошти місцевих бюджетів.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Згідно із Законом України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зайнятість населення” від 05.07.2012                   № 5067-VI, який набрав чинності з 1 січня 2013 року, </w:t>
      </w: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організації громадських робіт здійснюється за рахунок коштів місцевих бюджетів та/або коштів Фонду у разі участі в таких роботах зареєстрованих безробітних. 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РОЗДІЛ ІІ. Мета Програми</w:t>
      </w:r>
    </w:p>
    <w:p w:rsidR="00B40539" w:rsidRPr="00160565" w:rsidRDefault="00B40539" w:rsidP="00B40539">
      <w:pPr>
        <w:pStyle w:val="ListParagraph"/>
        <w:ind w:left="0" w:firstLine="360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 xml:space="preserve">Метою Програми є залучення широкого кола жителів сіл Степанки,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Хацьки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Залевки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Голов’ятине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Гуляйгородок</w:t>
      </w:r>
      <w:proofErr w:type="spellEnd"/>
      <w:r w:rsidRPr="00160565">
        <w:rPr>
          <w:sz w:val="28"/>
          <w:szCs w:val="28"/>
          <w:lang w:val="uk-UA"/>
        </w:rPr>
        <w:t xml:space="preserve">, Малий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 до участі в громадських роботах, що дозволить шляхом їх матеріальної підтримки та адаптації до трудової діяльності знизити соціальну напругу, а також сприятиме вирішенню проблем, пов’язаних з благоустроєм села, ремонтом об’єктів соціальної сфери, </w:t>
      </w:r>
      <w:r w:rsidRPr="00160565">
        <w:rPr>
          <w:color w:val="000000"/>
          <w:sz w:val="28"/>
          <w:szCs w:val="28"/>
          <w:lang w:val="uk-UA"/>
        </w:rPr>
        <w:t>утримання у належному стані цвинтарів</w:t>
      </w:r>
      <w:r w:rsidRPr="00160565">
        <w:rPr>
          <w:sz w:val="28"/>
          <w:szCs w:val="28"/>
          <w:lang w:val="uk-UA"/>
        </w:rPr>
        <w:t xml:space="preserve"> тощо.</w:t>
      </w: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РОЗДІЛ ІІІ. Завдання Програми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забезпечення тимчасової зайнятості осіб, які шукають роботу;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соціальна підтримка безробітних, в першу чергу тих, хто не може на рівних конкурувати на ринку праці і потребує додаткового соціального захисту;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забезпечення додатковим заробітком осіб з числа зайнятого населення;</w:t>
      </w:r>
    </w:p>
    <w:p w:rsidR="00B40539" w:rsidRPr="00160565" w:rsidRDefault="00B40539" w:rsidP="00B4053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РОЗДІЛ І</w:t>
      </w:r>
      <w:r w:rsidRPr="00160565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. Обґрунтування шляхів та засобів вирішення проблеми,</w:t>
      </w:r>
    </w:p>
    <w:p w:rsidR="00B40539" w:rsidRPr="00160565" w:rsidRDefault="00B40539" w:rsidP="00B4053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строки виконання Програми</w:t>
      </w:r>
    </w:p>
    <w:p w:rsidR="00B40539" w:rsidRPr="00160565" w:rsidRDefault="00B40539" w:rsidP="00B40539">
      <w:pPr>
        <w:pStyle w:val="ListParagraph"/>
        <w:ind w:left="0" w:firstLine="360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 xml:space="preserve">Засобами вирішення проблеми соціального захисту населення сіл Степанки,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Хацьки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Залевки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Голов’ятине</w:t>
      </w:r>
      <w:proofErr w:type="spellEnd"/>
      <w:r w:rsidRPr="00160565">
        <w:rPr>
          <w:sz w:val="28"/>
          <w:szCs w:val="28"/>
          <w:lang w:val="uk-UA"/>
        </w:rPr>
        <w:t xml:space="preserve">, </w:t>
      </w:r>
      <w:proofErr w:type="spellStart"/>
      <w:r w:rsidRPr="00160565">
        <w:rPr>
          <w:sz w:val="28"/>
          <w:szCs w:val="28"/>
          <w:lang w:val="uk-UA"/>
        </w:rPr>
        <w:t>Гуляйгородок</w:t>
      </w:r>
      <w:proofErr w:type="spellEnd"/>
      <w:r w:rsidRPr="00160565">
        <w:rPr>
          <w:sz w:val="28"/>
          <w:szCs w:val="28"/>
          <w:lang w:val="uk-UA"/>
        </w:rPr>
        <w:t xml:space="preserve">, Малий </w:t>
      </w:r>
      <w:proofErr w:type="spellStart"/>
      <w:r w:rsidRPr="00160565">
        <w:rPr>
          <w:sz w:val="28"/>
          <w:szCs w:val="28"/>
          <w:lang w:val="uk-UA"/>
        </w:rPr>
        <w:t>Бузуків</w:t>
      </w:r>
      <w:proofErr w:type="spellEnd"/>
      <w:r w:rsidRPr="00160565">
        <w:rPr>
          <w:sz w:val="28"/>
          <w:szCs w:val="28"/>
          <w:lang w:val="uk-UA"/>
        </w:rPr>
        <w:t xml:space="preserve">, на які спрямована Програма, відповідно до Закону України </w:t>
      </w:r>
      <w:proofErr w:type="spellStart"/>
      <w:r w:rsidRPr="00160565">
        <w:rPr>
          <w:sz w:val="28"/>
          <w:szCs w:val="28"/>
          <w:lang w:val="uk-UA"/>
        </w:rPr>
        <w:t>„Про</w:t>
      </w:r>
      <w:proofErr w:type="spellEnd"/>
      <w:r w:rsidRPr="00160565">
        <w:rPr>
          <w:sz w:val="28"/>
          <w:szCs w:val="28"/>
          <w:lang w:val="uk-UA"/>
        </w:rPr>
        <w:t xml:space="preserve"> зайнятість </w:t>
      </w:r>
      <w:r w:rsidRPr="00160565">
        <w:rPr>
          <w:sz w:val="28"/>
          <w:szCs w:val="28"/>
          <w:lang w:val="uk-UA"/>
        </w:rPr>
        <w:lastRenderedPageBreak/>
        <w:t xml:space="preserve">населення”, є надання можливості участі в громадських роботах – найпростіших роботах, що потребують знань для використання простих завдань, у деяких випадках із використанням ручних інструментів та/або із значними фізичними зусиллями, та кваліфікованих роботах, що потребують кваліфікації та/або досвіду роботи, які організовуються з метою надання додаткової соціальної підтримки та забезпечення тимчасової зайнятості осіб. </w:t>
      </w:r>
    </w:p>
    <w:p w:rsidR="00B40539" w:rsidRPr="00160565" w:rsidRDefault="00B40539" w:rsidP="00B40539">
      <w:pPr>
        <w:pStyle w:val="ListParagraph"/>
        <w:ind w:left="360"/>
        <w:jc w:val="both"/>
        <w:rPr>
          <w:sz w:val="28"/>
          <w:szCs w:val="28"/>
          <w:lang w:val="uk-UA"/>
        </w:rPr>
      </w:pPr>
      <w:r w:rsidRPr="00160565">
        <w:rPr>
          <w:sz w:val="28"/>
          <w:szCs w:val="28"/>
          <w:lang w:val="uk-UA"/>
        </w:rPr>
        <w:t>Строк виконання Програми – 20</w:t>
      </w:r>
      <w:r w:rsidRPr="00B40539">
        <w:rPr>
          <w:sz w:val="28"/>
          <w:szCs w:val="28"/>
        </w:rPr>
        <w:t>2</w:t>
      </w:r>
      <w:r w:rsidRPr="00160565">
        <w:rPr>
          <w:sz w:val="28"/>
          <w:szCs w:val="28"/>
          <w:lang w:val="uk-UA"/>
        </w:rPr>
        <w:t>3 рік.</w:t>
      </w:r>
    </w:p>
    <w:p w:rsidR="00B40539" w:rsidRPr="00160565" w:rsidRDefault="00B40539" w:rsidP="00B4053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РОЗДІЛ </w:t>
      </w:r>
      <w:r w:rsidRPr="00160565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. Перелік видів громадських робіт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 xml:space="preserve">Упорядження меморіалів, пам'ятників, територій навколо них, історико-культурних заповідників, братських могил та інших місць поховання загиблих захисників Вітчизни.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>Утримання у належному стані цвинтарів.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Благоустрій та озеленення територій населених пунктів (зокрема, територій дошкільних навчальних закладів та загальноосвітніх шкіл, спортивних майданчиків, стадіонів, зон відпочинку та туризму, закладів культури, охорони здоров’я), прибирання снігу.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Упорядкування придорожніх смуг.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Ремонт та будівництво дошкільних навчальних закладів та загальноосвітніх шкіл, лікарень, закладів культури, будинків для осіб похилого віку та інвалідів.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Підсобні роботи на ремонті приватних житлових будинків одиноких осіб з числа ветеранів війни та інвалідів, що проводяться за рішенням органів місцевого самоврядування.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Впорядкування територій населених пунктів з метою ліквідації наслідків надзвичайних ситуацій, визнаних рішенням органів місцевого самоврядування.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Роботи в архівах з документацією: підшивання справ, нумерація аркушів у справах, каталогізація, формування документів у справу,  складання внутрішніх описів до справ фондів і наглядових справ.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І</w:t>
      </w:r>
      <w:proofErr w:type="spellStart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>нформування</w:t>
      </w:r>
      <w:proofErr w:type="spellEnd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>населення</w:t>
      </w:r>
      <w:proofErr w:type="spellEnd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>стосовно</w:t>
      </w:r>
      <w:proofErr w:type="spellEnd"/>
      <w:r w:rsidRPr="00160565">
        <w:rPr>
          <w:rFonts w:ascii="Times New Roman" w:hAnsi="Times New Roman"/>
          <w:color w:val="000000"/>
          <w:spacing w:val="3"/>
          <w:sz w:val="28"/>
          <w:szCs w:val="28"/>
        </w:rPr>
        <w:t xml:space="preserve"> порядку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отримання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житлових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субсидій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технічної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підготовки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>документації</w:t>
      </w:r>
      <w:proofErr w:type="spellEnd"/>
      <w:r w:rsidRPr="00160565">
        <w:rPr>
          <w:rFonts w:ascii="Times New Roman" w:hAnsi="Times New Roman"/>
          <w:color w:val="000000"/>
          <w:spacing w:val="8"/>
          <w:sz w:val="28"/>
          <w:szCs w:val="28"/>
        </w:rPr>
        <w:t xml:space="preserve">, </w:t>
      </w:r>
      <w:proofErr w:type="spellStart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>кур'єрської</w:t>
      </w:r>
      <w:proofErr w:type="spellEnd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 xml:space="preserve"> доставки </w:t>
      </w:r>
      <w:proofErr w:type="spellStart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>документів</w:t>
      </w:r>
      <w:proofErr w:type="spellEnd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 xml:space="preserve"> та </w:t>
      </w:r>
      <w:proofErr w:type="spellStart"/>
      <w:r w:rsidRPr="00160565">
        <w:rPr>
          <w:rFonts w:ascii="Times New Roman" w:hAnsi="Times New Roman"/>
          <w:color w:val="000000"/>
          <w:spacing w:val="2"/>
          <w:sz w:val="28"/>
          <w:szCs w:val="28"/>
        </w:rPr>
        <w:t>запитів</w:t>
      </w:r>
      <w:proofErr w:type="spellEnd"/>
      <w:r w:rsidRPr="0016056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І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нформування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щодо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порушень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0565">
        <w:rPr>
          <w:rFonts w:ascii="Times New Roman" w:hAnsi="Times New Roman"/>
          <w:bCs/>
          <w:sz w:val="28"/>
          <w:szCs w:val="28"/>
        </w:rPr>
        <w:t>громадського</w:t>
      </w:r>
      <w:proofErr w:type="spellEnd"/>
      <w:r w:rsidRPr="00160565">
        <w:rPr>
          <w:rFonts w:ascii="Times New Roman" w:hAnsi="Times New Roman"/>
          <w:bCs/>
          <w:sz w:val="28"/>
          <w:szCs w:val="28"/>
        </w:rPr>
        <w:t xml:space="preserve"> порядку.</w:t>
      </w:r>
      <w:r w:rsidRPr="001605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Допоміжні роботи у домоволодіннях осіб з інвалідністю або тимчасово непрацездатних.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Надання допомоги сім’ям члени яких загинули, постраждали чи є учасниками АТО та зазнали негативного впливу внаслідок збройного конфлікту.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Супровід та соціальне обслуговування осіб з вадами зору.</w:t>
      </w:r>
    </w:p>
    <w:p w:rsidR="00B40539" w:rsidRPr="00160565" w:rsidRDefault="00B40539" w:rsidP="00B405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Роботи з екологічного захисту навколишнього середовища (зокрема санітарне очищення території населеного пункту).</w:t>
      </w: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РОЗДІЛ</w:t>
      </w:r>
      <w:r w:rsidRPr="00160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0565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І. Джерела фінансування Програми</w:t>
      </w:r>
    </w:p>
    <w:p w:rsidR="00B40539" w:rsidRPr="00160565" w:rsidRDefault="00B40539" w:rsidP="00B4053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Для забезпечення реалізації Програми передбачаються  кошти місцевого бюджету, виходячи з його фінансових можливостей.</w:t>
      </w:r>
    </w:p>
    <w:p w:rsidR="00B40539" w:rsidRPr="00160565" w:rsidRDefault="00B40539" w:rsidP="00B405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Обсяги видатків на виконання Програми з місцевого бюджету визначаються з дотриманням бюджетного законодавства та з урахуванням пропозицій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підрозділу Черкаської обласної служби зайнятості у Черкаському районі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Також до фінансування Програми залучаються кошти: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Фонду загальнообов’язкового державного соціального страхування України на випадок безробіття;</w:t>
      </w:r>
    </w:p>
    <w:p w:rsidR="00B40539" w:rsidRPr="00160565" w:rsidRDefault="00B40539" w:rsidP="00B40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>інших джерел, не заборонених чинним законодавством.</w:t>
      </w:r>
    </w:p>
    <w:p w:rsidR="00B40539" w:rsidRPr="00160565" w:rsidRDefault="00B40539" w:rsidP="00B4053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РОЗДІЛ</w:t>
      </w:r>
      <w:r w:rsidRPr="00160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0565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ІІ. Контроль за ходом виконання Програми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Контроль за ходом виконання Програми покладається на </w:t>
      </w:r>
      <w:proofErr w:type="spellStart"/>
      <w:r w:rsidRPr="00160565">
        <w:rPr>
          <w:rFonts w:ascii="Times New Roman" w:hAnsi="Times New Roman"/>
          <w:sz w:val="28"/>
          <w:szCs w:val="28"/>
          <w:lang w:val="uk-UA"/>
        </w:rPr>
        <w:t>Степанківську</w:t>
      </w:r>
      <w:proofErr w:type="spellEnd"/>
      <w:r w:rsidRPr="00160565">
        <w:rPr>
          <w:rFonts w:ascii="Times New Roman" w:hAnsi="Times New Roman"/>
          <w:sz w:val="28"/>
          <w:szCs w:val="28"/>
          <w:lang w:val="uk-UA"/>
        </w:rPr>
        <w:t xml:space="preserve"> сільську раду, яка повинна забезпечити виконання затверджених заходів та інформувати про виконання заходів </w:t>
      </w:r>
      <w:r w:rsidRPr="00160565">
        <w:rPr>
          <w:rFonts w:ascii="Times New Roman" w:hAnsi="Times New Roman"/>
          <w:sz w:val="28"/>
          <w:szCs w:val="28"/>
          <w:lang w:val="uk-UA" w:eastAsia="uk-UA"/>
        </w:rPr>
        <w:t>підрозділ Черкаської обласної служби зайнятості у Черкаському районі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539" w:rsidRPr="00160565" w:rsidRDefault="00B40539" w:rsidP="00B405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РОЗДІЛ</w:t>
      </w:r>
      <w:r w:rsidRPr="00160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0565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60565">
        <w:rPr>
          <w:rFonts w:ascii="Times New Roman" w:hAnsi="Times New Roman"/>
          <w:b/>
          <w:bCs/>
          <w:sz w:val="28"/>
          <w:szCs w:val="28"/>
          <w:lang w:val="uk-UA"/>
        </w:rPr>
        <w:t>ІІІ. Очікуваний кінцевий результат Програми</w:t>
      </w:r>
    </w:p>
    <w:p w:rsidR="00B40539" w:rsidRPr="00160565" w:rsidRDefault="00B40539" w:rsidP="00B405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0565">
        <w:rPr>
          <w:rFonts w:ascii="Times New Roman" w:hAnsi="Times New Roman"/>
          <w:sz w:val="28"/>
          <w:szCs w:val="28"/>
          <w:lang w:val="uk-UA"/>
        </w:rPr>
        <w:t xml:space="preserve">Виконання Програми дасть змогу знизити соціальну напругу, сприятиме вирішенню проблем, пов’язаних з благоустроєм села, ремонтом об’єктів соціальної сфери, </w:t>
      </w:r>
      <w:r w:rsidRPr="00160565">
        <w:rPr>
          <w:rFonts w:ascii="Times New Roman" w:hAnsi="Times New Roman"/>
          <w:color w:val="000000"/>
          <w:sz w:val="28"/>
          <w:szCs w:val="28"/>
          <w:lang w:val="uk-UA"/>
        </w:rPr>
        <w:t>утримання у належному стані цвинтарів</w:t>
      </w:r>
      <w:r w:rsidRPr="00160565">
        <w:rPr>
          <w:rFonts w:ascii="Times New Roman" w:hAnsi="Times New Roman"/>
          <w:sz w:val="28"/>
          <w:szCs w:val="28"/>
          <w:lang w:val="uk-UA"/>
        </w:rPr>
        <w:t>.</w:t>
      </w:r>
    </w:p>
    <w:p w:rsidR="00B40539" w:rsidRPr="00160565" w:rsidRDefault="00B40539" w:rsidP="00B40539">
      <w:pPr>
        <w:pStyle w:val="NoSpacing"/>
        <w:rPr>
          <w:szCs w:val="28"/>
          <w:lang w:val="uk-UA"/>
        </w:rPr>
      </w:pPr>
    </w:p>
    <w:p w:rsidR="00B40539" w:rsidRPr="00160565" w:rsidRDefault="00B40539" w:rsidP="00B40539">
      <w:pPr>
        <w:pStyle w:val="NoSpacing"/>
        <w:rPr>
          <w:szCs w:val="28"/>
          <w:lang w:val="uk-UA"/>
        </w:rPr>
      </w:pPr>
    </w:p>
    <w:p w:rsidR="00B40539" w:rsidRPr="00160565" w:rsidRDefault="00B40539" w:rsidP="00B40539">
      <w:pPr>
        <w:pStyle w:val="NoSpacing"/>
        <w:rPr>
          <w:szCs w:val="28"/>
          <w:lang w:val="uk-UA"/>
        </w:rPr>
      </w:pPr>
      <w:r w:rsidRPr="00160565">
        <w:rPr>
          <w:szCs w:val="28"/>
          <w:lang w:val="uk-UA"/>
        </w:rPr>
        <w:t xml:space="preserve">Секретар сільської ради </w:t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</w:r>
      <w:r w:rsidRPr="00160565">
        <w:rPr>
          <w:szCs w:val="28"/>
          <w:lang w:val="uk-UA"/>
        </w:rPr>
        <w:tab/>
        <w:t xml:space="preserve">  Інна НЕВГОД</w:t>
      </w:r>
    </w:p>
    <w:p w:rsidR="00B40539" w:rsidRPr="00160565" w:rsidRDefault="00B40539" w:rsidP="00B40539">
      <w:pPr>
        <w:rPr>
          <w:rFonts w:ascii="Times New Roman" w:hAnsi="Times New Roman"/>
        </w:rPr>
      </w:pPr>
    </w:p>
    <w:p w:rsidR="00477AAB" w:rsidRDefault="00B40539"/>
    <w:sectPr w:rsidR="00477AAB" w:rsidSect="007A6C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C6B"/>
    <w:multiLevelType w:val="hybridMultilevel"/>
    <w:tmpl w:val="9CC83C8E"/>
    <w:lvl w:ilvl="0" w:tplc="8C7E4A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21232"/>
    <w:multiLevelType w:val="multilevel"/>
    <w:tmpl w:val="14DC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5E6C24D8"/>
    <w:multiLevelType w:val="hybridMultilevel"/>
    <w:tmpl w:val="526E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B3"/>
    <w:rsid w:val="002D1AD0"/>
    <w:rsid w:val="006F26B3"/>
    <w:rsid w:val="00B40539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405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05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link w:val="10"/>
    <w:autoRedefine/>
    <w:rsid w:val="00B40539"/>
    <w:pPr>
      <w:tabs>
        <w:tab w:val="right" w:leader="dot" w:pos="9356"/>
      </w:tabs>
      <w:spacing w:after="0" w:line="240" w:lineRule="auto"/>
      <w:jc w:val="both"/>
      <w:outlineLvl w:val="1"/>
    </w:pPr>
    <w:rPr>
      <w:rFonts w:ascii="Times New Roman" w:hAnsi="Times New Roman"/>
      <w:spacing w:val="-6"/>
      <w:sz w:val="28"/>
      <w:szCs w:val="28"/>
      <w:lang w:val="x-none" w:eastAsia="ru-RU"/>
    </w:rPr>
  </w:style>
  <w:style w:type="character" w:customStyle="1" w:styleId="10">
    <w:name w:val="Оглавление 1 Знак"/>
    <w:link w:val="1"/>
    <w:locked/>
    <w:rsid w:val="00B40539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3">
    <w:name w:val="No Spacing"/>
    <w:uiPriority w:val="1"/>
    <w:qFormat/>
    <w:rsid w:val="00B40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B405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B40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405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05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link w:val="10"/>
    <w:autoRedefine/>
    <w:rsid w:val="00B40539"/>
    <w:pPr>
      <w:tabs>
        <w:tab w:val="right" w:leader="dot" w:pos="9356"/>
      </w:tabs>
      <w:spacing w:after="0" w:line="240" w:lineRule="auto"/>
      <w:jc w:val="both"/>
      <w:outlineLvl w:val="1"/>
    </w:pPr>
    <w:rPr>
      <w:rFonts w:ascii="Times New Roman" w:hAnsi="Times New Roman"/>
      <w:spacing w:val="-6"/>
      <w:sz w:val="28"/>
      <w:szCs w:val="28"/>
      <w:lang w:val="x-none" w:eastAsia="ru-RU"/>
    </w:rPr>
  </w:style>
  <w:style w:type="character" w:customStyle="1" w:styleId="10">
    <w:name w:val="Оглавление 1 Знак"/>
    <w:link w:val="1"/>
    <w:locked/>
    <w:rsid w:val="00B40539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a3">
    <w:name w:val="No Spacing"/>
    <w:uiPriority w:val="1"/>
    <w:qFormat/>
    <w:rsid w:val="00B40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B405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B40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3260</Words>
  <Characters>18587</Characters>
  <Application>Microsoft Office Word</Application>
  <DocSecurity>0</DocSecurity>
  <Lines>154</Lines>
  <Paragraphs>43</Paragraphs>
  <ScaleCrop>false</ScaleCrop>
  <Company/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2023-10-30T08:06:00Z</dcterms:created>
  <dcterms:modified xsi:type="dcterms:W3CDTF">2023-10-30T08:16:00Z</dcterms:modified>
</cp:coreProperties>
</file>