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9993" w14:textId="77777777" w:rsidR="00267EAC" w:rsidRDefault="008B1197" w:rsidP="008B1197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338363E3" w14:textId="77777777" w:rsidR="008B1197" w:rsidRPr="008B1197" w:rsidRDefault="008B1197" w:rsidP="008B1197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від 27.10.2023 №41-36/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ІІІ</w:t>
      </w:r>
    </w:p>
    <w:p w14:paraId="529BB9E1" w14:textId="77777777" w:rsidR="00267EAC" w:rsidRDefault="00267EAC" w:rsidP="00267EAC">
      <w:pPr>
        <w:rPr>
          <w:color w:val="000000"/>
          <w:sz w:val="28"/>
          <w:szCs w:val="28"/>
          <w:lang w:val="uk-UA"/>
        </w:rPr>
      </w:pPr>
    </w:p>
    <w:p w14:paraId="3B36D257" w14:textId="77777777" w:rsidR="00267EAC" w:rsidRDefault="00267EAC" w:rsidP="00267EAC">
      <w:pPr>
        <w:rPr>
          <w:color w:val="000000"/>
          <w:sz w:val="28"/>
          <w:szCs w:val="28"/>
          <w:lang w:val="uk-UA"/>
        </w:rPr>
      </w:pPr>
    </w:p>
    <w:p w14:paraId="41303922" w14:textId="77777777" w:rsidR="00267EAC" w:rsidRDefault="00267EAC" w:rsidP="00267EAC">
      <w:pPr>
        <w:rPr>
          <w:color w:val="000000"/>
          <w:sz w:val="28"/>
          <w:szCs w:val="28"/>
          <w:lang w:val="uk-UA"/>
        </w:rPr>
      </w:pPr>
    </w:p>
    <w:p w14:paraId="720CABE9" w14:textId="77777777" w:rsidR="00267EAC" w:rsidRDefault="00267EAC" w:rsidP="00267EAC">
      <w:pPr>
        <w:tabs>
          <w:tab w:val="left" w:pos="280"/>
          <w:tab w:val="left" w:pos="1365"/>
          <w:tab w:val="left" w:pos="2340"/>
          <w:tab w:val="left" w:pos="2380"/>
        </w:tabs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                                                                                                    Рішення </w:t>
      </w:r>
      <w:r w:rsidR="009B4AC1">
        <w:rPr>
          <w:sz w:val="28"/>
          <w:szCs w:val="28"/>
          <w:lang w:val="uk-UA"/>
        </w:rPr>
        <w:t>сільської ради</w:t>
      </w:r>
    </w:p>
    <w:p w14:paraId="6B2BEC53" w14:textId="77777777" w:rsidR="00267EAC" w:rsidRDefault="009B4AC1" w:rsidP="00267EAC">
      <w:pPr>
        <w:tabs>
          <w:tab w:val="left" w:pos="280"/>
          <w:tab w:val="left" w:pos="1365"/>
          <w:tab w:val="left" w:pos="2340"/>
          <w:tab w:val="left" w:pos="2380"/>
        </w:tabs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</w:t>
      </w:r>
      <w:r w:rsidR="00267EAC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 w:rsidR="00267EAC">
        <w:rPr>
          <w:sz w:val="28"/>
          <w:szCs w:val="28"/>
          <w:lang w:val="uk-UA"/>
        </w:rPr>
        <w:t xml:space="preserve"> року № 114 </w:t>
      </w:r>
    </w:p>
    <w:p w14:paraId="0F160E89" w14:textId="77777777" w:rsidR="00267EAC" w:rsidRDefault="00267EAC" w:rsidP="00267EAC">
      <w:pPr>
        <w:spacing w:line="276" w:lineRule="auto"/>
        <w:jc w:val="right"/>
        <w:rPr>
          <w:sz w:val="28"/>
          <w:szCs w:val="28"/>
          <w:lang w:val="uk-UA"/>
        </w:rPr>
      </w:pPr>
    </w:p>
    <w:p w14:paraId="5C386447" w14:textId="77777777" w:rsidR="00267EAC" w:rsidRDefault="00267EAC" w:rsidP="00267EAC">
      <w:pPr>
        <w:spacing w:line="276" w:lineRule="auto"/>
        <w:jc w:val="right"/>
        <w:rPr>
          <w:sz w:val="28"/>
          <w:szCs w:val="28"/>
          <w:lang w:val="uk-UA"/>
        </w:rPr>
      </w:pPr>
    </w:p>
    <w:p w14:paraId="7A6BCEB5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14E5EA92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Л О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53649D68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цільовий фонд </w:t>
      </w: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14:paraId="55F78BBA" w14:textId="77777777" w:rsidR="00267EAC" w:rsidRDefault="00267EAC" w:rsidP="00267EAC">
      <w:pPr>
        <w:spacing w:line="276" w:lineRule="auto"/>
        <w:rPr>
          <w:b/>
          <w:sz w:val="28"/>
          <w:szCs w:val="28"/>
          <w:lang w:val="uk-UA"/>
        </w:rPr>
      </w:pPr>
    </w:p>
    <w:p w14:paraId="14B83C75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7AF41ED4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highlight w:val="yellow"/>
          <w:lang w:val="uk-UA"/>
        </w:rPr>
      </w:pPr>
    </w:p>
    <w:p w14:paraId="024FB26A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Положення про цільовий фонд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(надалі – Фонд) розроблено відповідно до вимог Конституції України, Бюджетного кодексу України та Закону України «Про місцеве самоврядування в Україні».</w:t>
      </w:r>
    </w:p>
    <w:p w14:paraId="467C48AD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Кошти Фонду є складовою частиною спеціального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 сільської територіальної громади.</w:t>
      </w:r>
    </w:p>
    <w:p w14:paraId="28FCE939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Формування, розподіл та використання коштів Фонду проводиться відповідно до вимог положень Бюджетного кодексу України, підзаконних актів, положень та інструкцій, що мають статус нормативних документів за цим напрямком фінансово-господарської діяльності.</w:t>
      </w:r>
    </w:p>
    <w:p w14:paraId="098BE80F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Порядок формування і використання коштів Фонду визначається цим Положенням. </w:t>
      </w:r>
    </w:p>
    <w:p w14:paraId="57522B57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Кошти Фонду використовуються за цільовим призначенням на проведення заходів щодо вирішення питань соціально-економічного розвитку території, благоустрою, розвитку транспортної інфраструктури громади, соціального захисту населення, становлення і розвитку місцевого самоврядування, участі органів місцевого самоврядування у розв’язанні питань загальнодержавного значення, проведення заходів на території громади тощо.</w:t>
      </w:r>
    </w:p>
    <w:p w14:paraId="065582AC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Кошти Фонду акумулюються на окремому рахунку в органах Державної казначейської служби України.</w:t>
      </w:r>
    </w:p>
    <w:p w14:paraId="1982C0B3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Прогноз доходів та видатків Фонду здійснюється з врахуванням фактичних надходжень попередніх періодів, запланованих показників діяльності установи та напрямку використання коштів.</w:t>
      </w:r>
    </w:p>
    <w:p w14:paraId="4827600E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1.8. Обсяг надходжень та розподіл видатків Фонду планується при складанні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на відповідний бюджетний рік та уточнюється в процесі виконання бюджету.</w:t>
      </w:r>
    </w:p>
    <w:p w14:paraId="299CC870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Кошти Фонду мають цільове призначення та використовуються на підставі кошторису доходів та видатків.</w:t>
      </w:r>
    </w:p>
    <w:p w14:paraId="7EC231DF" w14:textId="77777777" w:rsidR="008B1197" w:rsidRDefault="008B1197" w:rsidP="00267EAC">
      <w:pPr>
        <w:spacing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</w:p>
    <w:p w14:paraId="7B003942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Джерела формування Фонду</w:t>
      </w:r>
    </w:p>
    <w:p w14:paraId="52A1A5EA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Цільовий фонд формується за рахунок таких надходжень:</w:t>
      </w:r>
    </w:p>
    <w:p w14:paraId="1E66F57A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Добровільних внесків підприємств, установ, організацій та коштів населення.</w:t>
      </w:r>
    </w:p>
    <w:p w14:paraId="6EE3F946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Інших надходжень, не заборонених чинним законодавством. </w:t>
      </w:r>
    </w:p>
    <w:p w14:paraId="3ADED5DC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11BF3443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Порядок та основні напрямки використання</w:t>
      </w:r>
    </w:p>
    <w:p w14:paraId="6F44B1EC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коштів Фонду </w:t>
      </w:r>
    </w:p>
    <w:p w14:paraId="396AA4CB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Кошти Фонду використовуються за такими напрямками: </w:t>
      </w:r>
    </w:p>
    <w:p w14:paraId="4B40D58A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3.1.1. Розробка схем та </w:t>
      </w:r>
      <w:proofErr w:type="spellStart"/>
      <w:r>
        <w:rPr>
          <w:sz w:val="28"/>
          <w:szCs w:val="28"/>
          <w:lang w:val="uk-UA"/>
        </w:rPr>
        <w:t>проєктних</w:t>
      </w:r>
      <w:proofErr w:type="spellEnd"/>
      <w:r>
        <w:rPr>
          <w:sz w:val="28"/>
          <w:szCs w:val="28"/>
          <w:lang w:val="uk-UA"/>
        </w:rPr>
        <w:t xml:space="preserve"> рішень під індивідуальне житлове будівництво.</w:t>
      </w:r>
    </w:p>
    <w:p w14:paraId="114CE827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3.1.2. Виготовлення детальних планів територій,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різних об’єктів на території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4E72CB8D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3.1.3. Виконання топографо-геодезичних </w:t>
      </w:r>
      <w:proofErr w:type="spellStart"/>
      <w:r>
        <w:rPr>
          <w:sz w:val="28"/>
          <w:szCs w:val="28"/>
          <w:lang w:val="uk-UA"/>
        </w:rPr>
        <w:t>вишукувань</w:t>
      </w:r>
      <w:proofErr w:type="spellEnd"/>
      <w:r>
        <w:rPr>
          <w:sz w:val="28"/>
          <w:szCs w:val="28"/>
          <w:lang w:val="uk-UA"/>
        </w:rPr>
        <w:t xml:space="preserve"> для розробки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.</w:t>
      </w:r>
    </w:p>
    <w:p w14:paraId="24F7C095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3.1.4. Роботи, пов’язані з благоустроєм селища та сіл громади.</w:t>
      </w:r>
    </w:p>
    <w:p w14:paraId="4FA3DE3B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3.1.5. Розвиток соціальної інфраструктури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 територіальної громади.</w:t>
      </w:r>
    </w:p>
    <w:p w14:paraId="5C916FEC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3.1.6. На придбання та модернізацію основних засобів установ і організацій, що фінансуються з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527F9F8D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3.1.7. Заходи із забезпечення соціального захисту громадян та сімей, які опинилися у скрутних життєвих обставинах.</w:t>
      </w:r>
    </w:p>
    <w:p w14:paraId="0518D6DE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3.1.8. Витрати на придбання ритуальної атрибутики, оплата ритуальних послуг.</w:t>
      </w:r>
    </w:p>
    <w:p w14:paraId="24F7B2AE" w14:textId="77777777" w:rsidR="00267EAC" w:rsidRDefault="00267EAC" w:rsidP="00267E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3.1.9. Витрати, пов’язані із забезпеченням діяльності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які не в повному обсязі забезпеченні фінансуванням із загального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4D8E813F" w14:textId="77777777" w:rsidR="008B1197" w:rsidRDefault="008B1197" w:rsidP="00267EAC">
      <w:pPr>
        <w:spacing w:line="276" w:lineRule="auto"/>
        <w:ind w:firstLine="720"/>
        <w:jc w:val="both"/>
        <w:rPr>
          <w:sz w:val="28"/>
          <w:szCs w:val="28"/>
          <w:highlight w:val="yellow"/>
          <w:lang w:val="uk-UA"/>
        </w:rPr>
      </w:pPr>
    </w:p>
    <w:p w14:paraId="6F012507" w14:textId="77777777" w:rsidR="00267EAC" w:rsidRDefault="00267EAC" w:rsidP="00267EAC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Облік та звітність про використання коштів Фонду </w:t>
      </w:r>
    </w:p>
    <w:p w14:paraId="19F660E7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Цільовий фонд обліковується в складі спеціального фонду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відповідно до статті 13 Бюджетного кодексу України.</w:t>
      </w:r>
    </w:p>
    <w:p w14:paraId="1BF02C00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Невикористані у звітному році кошти Фонду вилученню не підлягають, а переходять на наступний рік і використовуються на цілі, визначені цим Положенням.</w:t>
      </w:r>
    </w:p>
    <w:p w14:paraId="67D4CAAC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Облік доходів Фонду здійснює на підставі щоденних звітів Управління Державної казначейської служби України.</w:t>
      </w:r>
    </w:p>
    <w:p w14:paraId="69701E0B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Бухгалтерський облік фінансово-господарських операцій Фонду за напрямками використання коштів здійснюється головними розпорядниками коштів Фонду, які складають квартальні та річний звіти про отримані та використані кошти.</w:t>
      </w:r>
    </w:p>
    <w:p w14:paraId="0D3D8BFA" w14:textId="77777777" w:rsidR="00267EAC" w:rsidRDefault="00267EAC" w:rsidP="00267EAC">
      <w:pPr>
        <w:tabs>
          <w:tab w:val="left" w:pos="567"/>
          <w:tab w:val="left" w:pos="2670"/>
        </w:tabs>
        <w:spacing w:line="276" w:lineRule="auto"/>
        <w:ind w:right="-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Контроль за використанням коштів Фонду здійснює </w:t>
      </w:r>
      <w:r>
        <w:rPr>
          <w:color w:val="000000"/>
          <w:sz w:val="28"/>
          <w:szCs w:val="28"/>
          <w:lang w:val="uk-UA"/>
        </w:rPr>
        <w:t xml:space="preserve">постійно діюча депутатська комісія </w:t>
      </w:r>
      <w:r>
        <w:rPr>
          <w:sz w:val="28"/>
          <w:szCs w:val="28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та комісія з гуманітарних питань.</w:t>
      </w:r>
    </w:p>
    <w:p w14:paraId="0D2FB297" w14:textId="77777777" w:rsidR="00267EAC" w:rsidRDefault="00267EAC" w:rsidP="00267EA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9E30A3E" w14:textId="77777777" w:rsidR="00267EAC" w:rsidRDefault="00267EAC" w:rsidP="00267EAC">
      <w:pPr>
        <w:spacing w:line="276" w:lineRule="auto"/>
        <w:jc w:val="both"/>
        <w:rPr>
          <w:sz w:val="28"/>
          <w:szCs w:val="28"/>
          <w:lang w:val="uk-UA"/>
        </w:rPr>
      </w:pPr>
    </w:p>
    <w:p w14:paraId="160CDFFE" w14:textId="77777777" w:rsidR="00267EAC" w:rsidRPr="00267EAC" w:rsidRDefault="00267EAC" w:rsidP="00267EAC">
      <w:pPr>
        <w:spacing w:line="276" w:lineRule="auto"/>
        <w:jc w:val="both"/>
        <w:rPr>
          <w:lang w:val="uk-UA"/>
        </w:rPr>
      </w:pPr>
      <w:r w:rsidRPr="00267EAC">
        <w:rPr>
          <w:sz w:val="28"/>
          <w:szCs w:val="28"/>
          <w:lang w:val="uk-UA"/>
        </w:rPr>
        <w:t xml:space="preserve">Секретар сільської ради, виконкому                   </w:t>
      </w:r>
      <w:r>
        <w:rPr>
          <w:sz w:val="28"/>
          <w:szCs w:val="28"/>
          <w:lang w:val="uk-UA"/>
        </w:rPr>
        <w:t xml:space="preserve">     </w:t>
      </w:r>
      <w:r w:rsidRPr="00267EAC">
        <w:rPr>
          <w:sz w:val="28"/>
          <w:szCs w:val="28"/>
          <w:lang w:val="uk-UA"/>
        </w:rPr>
        <w:t xml:space="preserve">          Інна НЕВГОД</w:t>
      </w:r>
      <w:r w:rsidRPr="00267EAC">
        <w:rPr>
          <w:sz w:val="28"/>
          <w:szCs w:val="28"/>
          <w:lang w:val="uk-UA"/>
        </w:rPr>
        <w:tab/>
      </w:r>
      <w:r w:rsidRPr="00267EAC">
        <w:rPr>
          <w:sz w:val="28"/>
          <w:szCs w:val="28"/>
          <w:lang w:val="uk-UA"/>
        </w:rPr>
        <w:tab/>
      </w:r>
      <w:r w:rsidRPr="00267EAC">
        <w:rPr>
          <w:sz w:val="28"/>
          <w:szCs w:val="28"/>
          <w:lang w:val="uk-UA"/>
        </w:rPr>
        <w:tab/>
      </w:r>
      <w:r w:rsidRPr="00267EAC">
        <w:rPr>
          <w:sz w:val="28"/>
          <w:szCs w:val="28"/>
          <w:lang w:val="uk-UA"/>
        </w:rPr>
        <w:tab/>
      </w:r>
    </w:p>
    <w:p w14:paraId="06F9C34E" w14:textId="77777777" w:rsidR="00A7148D" w:rsidRPr="00267EAC" w:rsidRDefault="00A7148D">
      <w:pPr>
        <w:rPr>
          <w:lang w:val="uk-UA"/>
        </w:rPr>
      </w:pPr>
    </w:p>
    <w:sectPr w:rsidR="00A7148D" w:rsidRPr="0026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2F"/>
    <w:rsid w:val="00267EAC"/>
    <w:rsid w:val="0048115A"/>
    <w:rsid w:val="008B1197"/>
    <w:rsid w:val="009B4AC1"/>
    <w:rsid w:val="00A7148D"/>
    <w:rsid w:val="00DD312F"/>
    <w:rsid w:val="00EC3D07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1E9F"/>
  <w15:docId w15:val="{34719ABC-183D-45B5-BA0A-CFAFD2FE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267EAC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267E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2023-10-31T11:19:00Z</cp:lastPrinted>
  <dcterms:created xsi:type="dcterms:W3CDTF">2023-11-13T10:38:00Z</dcterms:created>
  <dcterms:modified xsi:type="dcterms:W3CDTF">2023-11-13T10:38:00Z</dcterms:modified>
</cp:coreProperties>
</file>