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89B3" w14:textId="77777777" w:rsidR="00A64929" w:rsidRDefault="00A64929" w:rsidP="00A64929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Додаток 2  </w:t>
      </w:r>
    </w:p>
    <w:p w14:paraId="4F047011" w14:textId="77777777" w:rsidR="00A64929" w:rsidRPr="000F0544" w:rsidRDefault="00A64929" w:rsidP="00A64929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</w:t>
      </w:r>
      <w:r w:rsidRPr="000F0544">
        <w:rPr>
          <w:rFonts w:ascii="Times New Roman" w:hAnsi="Times New Roman"/>
          <w:sz w:val="24"/>
          <w:szCs w:val="28"/>
          <w:lang w:val="uk-UA"/>
        </w:rPr>
        <w:t>о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0F0544">
        <w:rPr>
          <w:rFonts w:ascii="Times New Roman" w:hAnsi="Times New Roman"/>
          <w:sz w:val="24"/>
          <w:szCs w:val="28"/>
          <w:lang w:val="uk-UA"/>
        </w:rPr>
        <w:t>рішення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0F0544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0F0544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784C266C" w14:textId="77777777" w:rsidR="00A64929" w:rsidRPr="000F0544" w:rsidRDefault="00A64929" w:rsidP="00A64929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від 07.09.2023 №38-02</w:t>
      </w:r>
      <w:r w:rsidRPr="00833092">
        <w:rPr>
          <w:rFonts w:ascii="Times New Roman" w:hAnsi="Times New Roman"/>
          <w:sz w:val="24"/>
          <w:szCs w:val="28"/>
          <w:lang w:val="uk-UA"/>
        </w:rPr>
        <w:t>/VІІІ</w:t>
      </w:r>
    </w:p>
    <w:p w14:paraId="1C6AECCE" w14:textId="77777777" w:rsidR="00A64929" w:rsidRDefault="00A64929" w:rsidP="00A6492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4D0B6025" w14:textId="77777777" w:rsidR="00A64929" w:rsidRPr="00567875" w:rsidRDefault="00A64929" w:rsidP="00A649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val="uk-UA" w:eastAsia="uk-UA"/>
        </w:rPr>
      </w:pPr>
      <w:r w:rsidRPr="00567875">
        <w:rPr>
          <w:rFonts w:ascii="Times New Roman" w:eastAsia="Times New Roman" w:hAnsi="Times New Roman"/>
          <w:b/>
          <w:color w:val="000000"/>
          <w:sz w:val="28"/>
          <w:szCs w:val="24"/>
          <w:lang w:val="uk-UA" w:eastAsia="uk-UA"/>
        </w:rPr>
        <w:t>ЗАХОДИ</w:t>
      </w:r>
    </w:p>
    <w:p w14:paraId="487445F4" w14:textId="77777777" w:rsidR="00A64929" w:rsidRDefault="00A64929" w:rsidP="00A6492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67875">
        <w:rPr>
          <w:rFonts w:ascii="Times New Roman" w:hAnsi="Times New Roman"/>
          <w:b/>
          <w:sz w:val="28"/>
          <w:szCs w:val="24"/>
          <w:lang w:val="uk-UA" w:eastAsia="uk-UA"/>
        </w:rPr>
        <w:t>підтримки  та організації надання шефської допомоги в/ч №</w:t>
      </w:r>
      <w:r>
        <w:rPr>
          <w:rFonts w:ascii="Times New Roman" w:hAnsi="Times New Roman"/>
          <w:b/>
          <w:sz w:val="28"/>
          <w:szCs w:val="24"/>
          <w:lang w:val="uk-UA" w:eastAsia="uk-UA"/>
        </w:rPr>
        <w:t>*****</w:t>
      </w:r>
      <w:r w:rsidRPr="00567875">
        <w:rPr>
          <w:rFonts w:ascii="Times New Roman" w:hAnsi="Times New Roman"/>
          <w:b/>
          <w:sz w:val="28"/>
          <w:szCs w:val="24"/>
          <w:lang w:val="uk-UA" w:eastAsia="uk-UA"/>
        </w:rPr>
        <w:t xml:space="preserve"> Національної гвардії України» на 2023 рік</w:t>
      </w:r>
    </w:p>
    <w:p w14:paraId="2FAC8BAA" w14:textId="77777777" w:rsidR="00A64929" w:rsidRDefault="00A64929" w:rsidP="00A6492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tbl>
      <w:tblPr>
        <w:tblStyle w:val="a4"/>
        <w:tblW w:w="14709" w:type="dxa"/>
        <w:tblLayout w:type="fixed"/>
        <w:tblLook w:val="0000" w:firstRow="0" w:lastRow="0" w:firstColumn="0" w:lastColumn="0" w:noHBand="0" w:noVBand="0"/>
      </w:tblPr>
      <w:tblGrid>
        <w:gridCol w:w="542"/>
        <w:gridCol w:w="2543"/>
        <w:gridCol w:w="3260"/>
        <w:gridCol w:w="851"/>
        <w:gridCol w:w="2410"/>
        <w:gridCol w:w="2693"/>
        <w:gridCol w:w="2410"/>
      </w:tblGrid>
      <w:tr w:rsidR="00A64929" w:rsidRPr="001006CD" w14:paraId="6DA52E6C" w14:textId="77777777" w:rsidTr="00C47CC1">
        <w:trPr>
          <w:trHeight w:hRule="exact" w:val="883"/>
        </w:trPr>
        <w:tc>
          <w:tcPr>
            <w:tcW w:w="542" w:type="dxa"/>
            <w:vMerge w:val="restart"/>
            <w:vAlign w:val="center"/>
          </w:tcPr>
          <w:p w14:paraId="0976D36D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№ з/п</w:t>
            </w:r>
          </w:p>
        </w:tc>
        <w:tc>
          <w:tcPr>
            <w:tcW w:w="2543" w:type="dxa"/>
            <w:vMerge w:val="restart"/>
            <w:tcBorders>
              <w:right w:val="single" w:sz="4" w:space="0" w:color="auto"/>
            </w:tcBorders>
            <w:vAlign w:val="center"/>
          </w:tcPr>
          <w:p w14:paraId="2E99A7D5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Напрями діяльності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68CD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Перелік заходів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6952D2" w14:textId="77777777" w:rsidR="00A64929" w:rsidRDefault="00A64929" w:rsidP="00C47CC1">
            <w:pPr>
              <w:pStyle w:val="a6"/>
              <w:shd w:val="clear" w:color="auto" w:fill="auto"/>
              <w:spacing w:after="0"/>
              <w:ind w:left="113" w:right="113"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 xml:space="preserve">Строк </w:t>
            </w:r>
          </w:p>
          <w:p w14:paraId="699B0DAA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left="113" w:right="113"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 xml:space="preserve">виконання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7C68289E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Виконавці</w:t>
            </w:r>
          </w:p>
        </w:tc>
        <w:tc>
          <w:tcPr>
            <w:tcW w:w="2693" w:type="dxa"/>
            <w:vMerge w:val="restart"/>
            <w:vAlign w:val="center"/>
          </w:tcPr>
          <w:p w14:paraId="42EB2AE3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Джерела фінансування</w:t>
            </w:r>
          </w:p>
        </w:tc>
        <w:tc>
          <w:tcPr>
            <w:tcW w:w="2410" w:type="dxa"/>
            <w:vMerge w:val="restart"/>
            <w:vAlign w:val="center"/>
          </w:tcPr>
          <w:p w14:paraId="52D9191C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jc w:val="center"/>
            </w:pPr>
            <w:r w:rsidRPr="001006CD">
              <w:rPr>
                <w:sz w:val="24"/>
                <w:szCs w:val="24"/>
                <w:lang w:val="uk-UA" w:eastAsia="uk-UA" w:bidi="uk-UA"/>
              </w:rPr>
              <w:t>Очікувані результати</w:t>
            </w:r>
          </w:p>
        </w:tc>
      </w:tr>
      <w:tr w:rsidR="00A64929" w:rsidRPr="001006CD" w14:paraId="5A39C02F" w14:textId="77777777" w:rsidTr="00C47CC1">
        <w:trPr>
          <w:trHeight w:hRule="exact" w:val="655"/>
        </w:trPr>
        <w:tc>
          <w:tcPr>
            <w:tcW w:w="542" w:type="dxa"/>
            <w:vMerge/>
          </w:tcPr>
          <w:p w14:paraId="74F2CA9C" w14:textId="77777777" w:rsidR="00A64929" w:rsidRPr="001006CD" w:rsidRDefault="00A64929" w:rsidP="00C47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vMerge/>
            <w:tcBorders>
              <w:right w:val="single" w:sz="4" w:space="0" w:color="auto"/>
            </w:tcBorders>
          </w:tcPr>
          <w:p w14:paraId="2153B9BC" w14:textId="77777777" w:rsidR="00A64929" w:rsidRPr="001006CD" w:rsidRDefault="00A64929" w:rsidP="00C47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2CE7" w14:textId="77777777" w:rsidR="00A64929" w:rsidRPr="001006CD" w:rsidRDefault="00A64929" w:rsidP="00C47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7F6" w14:textId="77777777" w:rsidR="00A64929" w:rsidRPr="001006CD" w:rsidRDefault="00A64929" w:rsidP="00C47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67973B20" w14:textId="77777777" w:rsidR="00A64929" w:rsidRPr="001006CD" w:rsidRDefault="00A64929" w:rsidP="00C47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FC434C2" w14:textId="77777777" w:rsidR="00A64929" w:rsidRPr="001006CD" w:rsidRDefault="00A64929" w:rsidP="00C47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1528D32A" w14:textId="77777777" w:rsidR="00A64929" w:rsidRPr="001006CD" w:rsidRDefault="00A64929" w:rsidP="00C47CC1">
            <w:pPr>
              <w:rPr>
                <w:rFonts w:ascii="Times New Roman" w:hAnsi="Times New Roman" w:cs="Times New Roman"/>
              </w:rPr>
            </w:pPr>
          </w:p>
        </w:tc>
      </w:tr>
      <w:tr w:rsidR="00A64929" w:rsidRPr="001006CD" w14:paraId="746D37D9" w14:textId="77777777" w:rsidTr="00C47CC1">
        <w:trPr>
          <w:cantSplit/>
          <w:trHeight w:hRule="exact" w:val="3550"/>
        </w:trPr>
        <w:tc>
          <w:tcPr>
            <w:tcW w:w="542" w:type="dxa"/>
            <w:vAlign w:val="center"/>
          </w:tcPr>
          <w:p w14:paraId="748EA150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1006C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43" w:type="dxa"/>
            <w:vAlign w:val="center"/>
          </w:tcPr>
          <w:p w14:paraId="1ECF7CE4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умов функціонування</w:t>
            </w:r>
          </w:p>
        </w:tc>
        <w:tc>
          <w:tcPr>
            <w:tcW w:w="3260" w:type="dxa"/>
            <w:vAlign w:val="center"/>
          </w:tcPr>
          <w:p w14:paraId="18F6F000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перевезення особового складу до місць виконання практичних дій, в тому числі придбання паливно- мастильних матеріалів, технічних рідин та запасних частин до автомобілів, а також супутнього обладнання та інструментів</w:t>
            </w:r>
          </w:p>
        </w:tc>
        <w:tc>
          <w:tcPr>
            <w:tcW w:w="851" w:type="dxa"/>
            <w:textDirection w:val="btLr"/>
            <w:vAlign w:val="center"/>
          </w:tcPr>
          <w:p w14:paraId="5461FA2E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left="113" w:right="113" w:firstLine="0"/>
              <w:jc w:val="center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До 31.12.202</w:t>
            </w:r>
            <w:r>
              <w:rPr>
                <w:sz w:val="24"/>
                <w:szCs w:val="24"/>
                <w:lang w:val="uk-UA" w:eastAsia="uk-UA" w:bidi="uk-UA"/>
              </w:rPr>
              <w:t>3 року</w:t>
            </w:r>
          </w:p>
        </w:tc>
        <w:tc>
          <w:tcPr>
            <w:tcW w:w="2410" w:type="dxa"/>
            <w:vAlign w:val="center"/>
          </w:tcPr>
          <w:p w14:paraId="4DC789CE" w14:textId="77777777" w:rsidR="00A64929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7AFE8E88" w14:textId="77777777" w:rsidR="00A64929" w:rsidRPr="001013A4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12AEEA6D" w14:textId="77777777" w:rsidR="00A64929" w:rsidRPr="001013A4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5B64042E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27013579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Створення необхідних умов для перевезення особового складу до місць призначення або виконання завдань</w:t>
            </w:r>
          </w:p>
        </w:tc>
      </w:tr>
      <w:tr w:rsidR="00A64929" w:rsidRPr="001006CD" w14:paraId="2009EC1B" w14:textId="77777777" w:rsidTr="00C47CC1">
        <w:trPr>
          <w:cantSplit/>
          <w:trHeight w:hRule="exact" w:val="5543"/>
        </w:trPr>
        <w:tc>
          <w:tcPr>
            <w:tcW w:w="542" w:type="dxa"/>
            <w:vAlign w:val="center"/>
          </w:tcPr>
          <w:p w14:paraId="1D047852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lastRenderedPageBreak/>
              <w:t>2.</w:t>
            </w:r>
          </w:p>
        </w:tc>
        <w:tc>
          <w:tcPr>
            <w:tcW w:w="2543" w:type="dxa"/>
            <w:vAlign w:val="center"/>
          </w:tcPr>
          <w:p w14:paraId="4F889843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Підготовка приміщень до виконання завдань за призначенням</w:t>
            </w:r>
          </w:p>
        </w:tc>
        <w:tc>
          <w:tcPr>
            <w:tcW w:w="3260" w:type="dxa"/>
            <w:vAlign w:val="center"/>
          </w:tcPr>
          <w:p w14:paraId="46461E34" w14:textId="77777777" w:rsidR="00A64929" w:rsidRPr="00567875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67875">
              <w:rPr>
                <w:sz w:val="24"/>
                <w:szCs w:val="24"/>
                <w:lang w:val="uk-UA" w:eastAsia="uk-UA" w:bidi="uk-UA"/>
              </w:rPr>
              <w:t xml:space="preserve">Проведення ремонту приміщень, укомплектування приміщень (обладнання кімнат зберігання зброї, спальних приміщень для особового складу, робочих місць) та придбання необхідного інвентарю (робочих столів, стільців та інших необхідних меблів, </w:t>
            </w:r>
            <w:r w:rsidRPr="00567875">
              <w:rPr>
                <w:sz w:val="24"/>
                <w:szCs w:val="24"/>
                <w:lang w:val="uk-UA" w:eastAsia="uk-UA"/>
              </w:rPr>
              <w:t xml:space="preserve"> холодильне та морозильне обладнання, технологічне обладнання, </w:t>
            </w:r>
            <w:proofErr w:type="spellStart"/>
            <w:r w:rsidRPr="00567875">
              <w:rPr>
                <w:sz w:val="24"/>
                <w:szCs w:val="24"/>
                <w:lang w:val="uk-UA" w:eastAsia="uk-UA"/>
              </w:rPr>
              <w:t>столово</w:t>
            </w:r>
            <w:proofErr w:type="spellEnd"/>
            <w:r w:rsidRPr="00567875">
              <w:rPr>
                <w:sz w:val="24"/>
                <w:szCs w:val="24"/>
                <w:lang w:val="uk-UA" w:eastAsia="uk-UA"/>
              </w:rPr>
              <w:t>-кухонний посуд та інвентар, пральні та сушильні машини</w:t>
            </w:r>
            <w:r>
              <w:rPr>
                <w:sz w:val="24"/>
                <w:szCs w:val="24"/>
                <w:lang w:val="uk-UA" w:eastAsia="uk-UA" w:bidi="uk-UA"/>
              </w:rPr>
              <w:t xml:space="preserve">, </w:t>
            </w:r>
            <w:r w:rsidRPr="00567875">
              <w:rPr>
                <w:sz w:val="24"/>
                <w:szCs w:val="24"/>
                <w:lang w:val="uk-UA" w:eastAsia="uk-UA" w:bidi="uk-UA"/>
              </w:rPr>
              <w:t>тощо)</w:t>
            </w:r>
            <w:r>
              <w:rPr>
                <w:sz w:val="24"/>
                <w:szCs w:val="24"/>
                <w:lang w:val="uk-UA" w:eastAsia="uk-UA" w:bidi="uk-UA"/>
              </w:rPr>
              <w:t xml:space="preserve">, </w:t>
            </w:r>
            <w:r w:rsidRPr="001475DC">
              <w:rPr>
                <w:color w:val="FF0000"/>
                <w:sz w:val="24"/>
                <w:szCs w:val="24"/>
                <w:lang w:val="uk-UA" w:eastAsia="uk-UA"/>
              </w:rPr>
              <w:t>господарський інвентар</w:t>
            </w:r>
          </w:p>
        </w:tc>
        <w:tc>
          <w:tcPr>
            <w:tcW w:w="851" w:type="dxa"/>
            <w:textDirection w:val="btLr"/>
            <w:vAlign w:val="center"/>
          </w:tcPr>
          <w:p w14:paraId="0B017EE5" w14:textId="77777777" w:rsidR="00A64929" w:rsidRPr="001006CD" w:rsidRDefault="00A64929" w:rsidP="00C47C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06C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 року</w:t>
            </w:r>
          </w:p>
        </w:tc>
        <w:tc>
          <w:tcPr>
            <w:tcW w:w="2410" w:type="dxa"/>
            <w:vAlign w:val="center"/>
          </w:tcPr>
          <w:p w14:paraId="536DCE0A" w14:textId="77777777" w:rsidR="00A64929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36862DF9" w14:textId="77777777" w:rsidR="00A64929" w:rsidRPr="001013A4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549E8937" w14:textId="77777777" w:rsidR="00A64929" w:rsidRPr="001013A4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6102E210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46A76CE8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Створення необхідних умов для функціонування підрозділу</w:t>
            </w:r>
          </w:p>
        </w:tc>
      </w:tr>
      <w:tr w:rsidR="00A64929" w:rsidRPr="001006CD" w14:paraId="0EAAE2EF" w14:textId="77777777" w:rsidTr="00C47CC1">
        <w:trPr>
          <w:cantSplit/>
          <w:trHeight w:hRule="exact" w:val="4117"/>
        </w:trPr>
        <w:tc>
          <w:tcPr>
            <w:tcW w:w="542" w:type="dxa"/>
            <w:vAlign w:val="center"/>
          </w:tcPr>
          <w:p w14:paraId="37B389E5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lastRenderedPageBreak/>
              <w:t>3.</w:t>
            </w:r>
          </w:p>
        </w:tc>
        <w:tc>
          <w:tcPr>
            <w:tcW w:w="2543" w:type="dxa"/>
            <w:vAlign w:val="center"/>
          </w:tcPr>
          <w:p w14:paraId="7DBDF7F8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Облаштування робочих місць для виконання завдань за призначенням</w:t>
            </w:r>
          </w:p>
        </w:tc>
        <w:tc>
          <w:tcPr>
            <w:tcW w:w="3260" w:type="dxa"/>
            <w:vAlign w:val="center"/>
          </w:tcPr>
          <w:p w14:paraId="7BDEE6DE" w14:textId="77777777" w:rsidR="00A64929" w:rsidRPr="00567875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67875">
              <w:rPr>
                <w:sz w:val="24"/>
                <w:szCs w:val="24"/>
                <w:lang w:val="uk-UA" w:eastAsia="uk-UA" w:bidi="uk-UA"/>
              </w:rPr>
              <w:t>Обладнання робочих місць структурних підрозділів: забезпечення оргтехнікою (ноутбуки, принтери, к</w:t>
            </w:r>
            <w:r w:rsidRPr="00567875">
              <w:rPr>
                <w:sz w:val="24"/>
                <w:szCs w:val="24"/>
                <w:lang w:val="uk-UA"/>
              </w:rPr>
              <w:t xml:space="preserve">омп’ютери, планшети, монітори, телевізор, проектори, </w:t>
            </w:r>
            <w:proofErr w:type="spellStart"/>
            <w:r w:rsidRPr="00567875">
              <w:rPr>
                <w:sz w:val="24"/>
                <w:szCs w:val="24"/>
                <w:lang w:val="uk-UA"/>
              </w:rPr>
              <w:t>роутери</w:t>
            </w:r>
            <w:proofErr w:type="spellEnd"/>
            <w:r w:rsidRPr="00567875">
              <w:rPr>
                <w:sz w:val="24"/>
                <w:szCs w:val="24"/>
                <w:lang w:val="uk-UA"/>
              </w:rPr>
              <w:t xml:space="preserve">, кабель мультимедійний, послуги по заправці та ремонту картриджів) </w:t>
            </w:r>
            <w:r w:rsidRPr="00567875">
              <w:rPr>
                <w:sz w:val="24"/>
                <w:szCs w:val="24"/>
                <w:lang w:val="uk-UA" w:eastAsia="uk-UA" w:bidi="uk-UA"/>
              </w:rPr>
              <w:t>канцелярським приладдям та іншим необхідним майном</w:t>
            </w:r>
            <w:r>
              <w:rPr>
                <w:sz w:val="24"/>
                <w:szCs w:val="24"/>
                <w:lang w:val="uk-UA" w:eastAsia="uk-UA" w:bidi="uk-UA"/>
              </w:rPr>
              <w:t>,</w:t>
            </w:r>
            <w:r>
              <w:rPr>
                <w:szCs w:val="24"/>
                <w:lang w:val="uk-UA" w:eastAsia="uk-UA"/>
              </w:rPr>
              <w:t xml:space="preserve"> </w:t>
            </w:r>
            <w:r w:rsidRPr="001475DC">
              <w:rPr>
                <w:color w:val="FF0000"/>
                <w:sz w:val="24"/>
                <w:szCs w:val="24"/>
                <w:lang w:val="uk-UA" w:eastAsia="uk-UA"/>
              </w:rPr>
              <w:t>послуги з ремонту оргтехніки</w:t>
            </w:r>
          </w:p>
        </w:tc>
        <w:tc>
          <w:tcPr>
            <w:tcW w:w="851" w:type="dxa"/>
            <w:textDirection w:val="btLr"/>
            <w:vAlign w:val="center"/>
          </w:tcPr>
          <w:p w14:paraId="314BC391" w14:textId="77777777" w:rsidR="00A64929" w:rsidRPr="001006CD" w:rsidRDefault="00A64929" w:rsidP="00C47C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06C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 року</w:t>
            </w:r>
          </w:p>
        </w:tc>
        <w:tc>
          <w:tcPr>
            <w:tcW w:w="2410" w:type="dxa"/>
            <w:vAlign w:val="center"/>
          </w:tcPr>
          <w:p w14:paraId="429A6153" w14:textId="77777777" w:rsidR="00A64929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37948A37" w14:textId="77777777" w:rsidR="00A64929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58872A62" w14:textId="77777777" w:rsidR="00A64929" w:rsidRPr="005003A6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Військова частина №</w:t>
            </w:r>
            <w:r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5471D99A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2EB5C748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Своєчасне виконання поставлений завдань</w:t>
            </w:r>
          </w:p>
        </w:tc>
      </w:tr>
      <w:tr w:rsidR="00A64929" w:rsidRPr="001006CD" w14:paraId="35751FFE" w14:textId="77777777" w:rsidTr="00C47CC1">
        <w:trPr>
          <w:cantSplit/>
          <w:trHeight w:hRule="exact" w:val="5251"/>
        </w:trPr>
        <w:tc>
          <w:tcPr>
            <w:tcW w:w="542" w:type="dxa"/>
            <w:vAlign w:val="center"/>
          </w:tcPr>
          <w:p w14:paraId="4CD0B321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lastRenderedPageBreak/>
              <w:t>4</w:t>
            </w:r>
            <w:r w:rsidRPr="001006CD">
              <w:rPr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543" w:type="dxa"/>
            <w:vAlign w:val="center"/>
          </w:tcPr>
          <w:p w14:paraId="7D74DDB0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особового складу засобами захисту та зв’язку</w:t>
            </w:r>
          </w:p>
        </w:tc>
        <w:tc>
          <w:tcPr>
            <w:tcW w:w="3260" w:type="dxa"/>
            <w:vAlign w:val="center"/>
          </w:tcPr>
          <w:p w14:paraId="0769ADF0" w14:textId="77777777" w:rsidR="00A64929" w:rsidRPr="001475DC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475DC">
              <w:rPr>
                <w:sz w:val="24"/>
                <w:szCs w:val="24"/>
                <w:lang w:val="uk-UA" w:eastAsia="uk-UA" w:bidi="uk-UA"/>
              </w:rPr>
              <w:t xml:space="preserve">Придбання військового спорядження, </w:t>
            </w:r>
          </w:p>
          <w:p w14:paraId="7C42938B" w14:textId="77777777" w:rsidR="00A64929" w:rsidRPr="001475DC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1475DC">
              <w:rPr>
                <w:sz w:val="24"/>
                <w:szCs w:val="24"/>
                <w:lang w:val="uk-UA" w:eastAsia="uk-UA" w:bidi="uk-UA"/>
              </w:rPr>
              <w:t>тепловізорів</w:t>
            </w:r>
            <w:proofErr w:type="spellEnd"/>
            <w:r w:rsidRPr="001475DC">
              <w:rPr>
                <w:sz w:val="24"/>
                <w:szCs w:val="24"/>
                <w:lang w:val="uk-UA" w:eastAsia="uk-UA" w:bidi="uk-UA"/>
              </w:rPr>
              <w:t xml:space="preserve">, (касок, бронежилетів, </w:t>
            </w:r>
            <w:proofErr w:type="spellStart"/>
            <w:r w:rsidRPr="001475DC">
              <w:rPr>
                <w:sz w:val="24"/>
                <w:szCs w:val="24"/>
                <w:lang w:val="uk-UA" w:eastAsia="uk-UA" w:bidi="uk-UA"/>
              </w:rPr>
              <w:t>квадрокоптерів</w:t>
            </w:r>
            <w:proofErr w:type="spellEnd"/>
            <w:r w:rsidRPr="001475DC">
              <w:rPr>
                <w:sz w:val="24"/>
                <w:szCs w:val="24"/>
                <w:lang w:val="uk-UA" w:eastAsia="uk-UA" w:bidi="uk-UA"/>
              </w:rPr>
              <w:t>,</w:t>
            </w:r>
          </w:p>
          <w:p w14:paraId="21234704" w14:textId="77777777" w:rsidR="00A64929" w:rsidRPr="001475DC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1475DC">
              <w:rPr>
                <w:sz w:val="24"/>
                <w:szCs w:val="24"/>
                <w:lang w:val="uk-UA" w:eastAsia="uk-UA" w:bidi="uk-UA"/>
              </w:rPr>
              <w:t>розгрузочних</w:t>
            </w:r>
            <w:proofErr w:type="spellEnd"/>
            <w:r w:rsidRPr="001475DC">
              <w:rPr>
                <w:sz w:val="24"/>
                <w:szCs w:val="24"/>
                <w:lang w:val="uk-UA" w:eastAsia="uk-UA" w:bidi="uk-UA"/>
              </w:rPr>
              <w:t xml:space="preserve"> жилетів, засобів індивідуального захисту, спальників, наметів, засобів зв’язку,</w:t>
            </w:r>
            <w:r w:rsidRPr="001475DC">
              <w:rPr>
                <w:sz w:val="24"/>
                <w:szCs w:val="24"/>
                <w:lang w:val="uk-UA" w:eastAsia="uk-UA"/>
              </w:rPr>
              <w:t xml:space="preserve"> тактичних окулярів, приладів нічного бачення, прицілів, монокулярів, </w:t>
            </w:r>
            <w:proofErr w:type="spellStart"/>
            <w:r w:rsidRPr="001475DC">
              <w:rPr>
                <w:sz w:val="24"/>
                <w:szCs w:val="24"/>
                <w:lang w:val="uk-UA" w:eastAsia="uk-UA"/>
              </w:rPr>
              <w:t>страйкбольних</w:t>
            </w:r>
            <w:proofErr w:type="spellEnd"/>
            <w:r w:rsidRPr="001475DC">
              <w:rPr>
                <w:sz w:val="24"/>
                <w:szCs w:val="24"/>
                <w:lang w:val="uk-UA" w:eastAsia="uk-UA"/>
              </w:rPr>
              <w:t xml:space="preserve"> гвинтівок, </w:t>
            </w:r>
            <w:r w:rsidRPr="001475DC">
              <w:rPr>
                <w:color w:val="FF0000"/>
                <w:sz w:val="24"/>
                <w:szCs w:val="24"/>
                <w:lang w:val="uk-UA" w:eastAsia="uk-UA"/>
              </w:rPr>
              <w:t xml:space="preserve">планшетів </w:t>
            </w:r>
            <w:r w:rsidRPr="001475DC">
              <w:rPr>
                <w:sz w:val="24"/>
                <w:szCs w:val="24"/>
                <w:lang w:val="uk-UA" w:eastAsia="uk-UA" w:bidi="uk-UA"/>
              </w:rPr>
              <w:t>тощо) для потреб підрозділів</w:t>
            </w:r>
            <w:r w:rsidRPr="001475DC">
              <w:rPr>
                <w:sz w:val="24"/>
                <w:szCs w:val="24"/>
                <w:lang w:val="uk-UA" w:eastAsia="uk-UA"/>
              </w:rPr>
              <w:t xml:space="preserve"> </w:t>
            </w:r>
            <w:r w:rsidRPr="001475DC">
              <w:rPr>
                <w:color w:val="FF0000"/>
                <w:sz w:val="24"/>
                <w:szCs w:val="24"/>
                <w:lang w:val="uk-UA" w:eastAsia="uk-UA"/>
              </w:rPr>
              <w:t xml:space="preserve">нагрудні </w:t>
            </w:r>
            <w:proofErr w:type="spellStart"/>
            <w:r w:rsidRPr="001475DC">
              <w:rPr>
                <w:color w:val="FF0000"/>
                <w:sz w:val="24"/>
                <w:szCs w:val="24"/>
                <w:lang w:val="uk-UA" w:eastAsia="uk-UA"/>
              </w:rPr>
              <w:t>відеореєстратори</w:t>
            </w:r>
            <w:proofErr w:type="spellEnd"/>
            <w:r w:rsidRPr="001475DC">
              <w:rPr>
                <w:color w:val="FF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1475DC">
              <w:rPr>
                <w:color w:val="FF0000"/>
                <w:sz w:val="24"/>
                <w:szCs w:val="24"/>
                <w:lang w:val="uk-UA" w:eastAsia="uk-UA"/>
              </w:rPr>
              <w:t>електрошокери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14:paraId="61682052" w14:textId="77777777" w:rsidR="00A64929" w:rsidRDefault="00A64929" w:rsidP="00C47CC1">
            <w:pPr>
              <w:ind w:left="113" w:right="113"/>
              <w:jc w:val="center"/>
            </w:pPr>
            <w:r w:rsidRPr="001A667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 31.12.2023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року</w:t>
            </w:r>
          </w:p>
        </w:tc>
        <w:tc>
          <w:tcPr>
            <w:tcW w:w="2410" w:type="dxa"/>
            <w:vAlign w:val="center"/>
          </w:tcPr>
          <w:p w14:paraId="72ACC8A5" w14:textId="77777777" w:rsidR="00A64929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699A607E" w14:textId="77777777" w:rsidR="00A64929" w:rsidRPr="001013A4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6274BA08" w14:textId="77777777" w:rsidR="00A64929" w:rsidRPr="001013A4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3311B334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491493C1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Підвищення безпеки та захисту особового складу</w:t>
            </w:r>
          </w:p>
        </w:tc>
      </w:tr>
      <w:tr w:rsidR="00A64929" w:rsidRPr="001006CD" w14:paraId="50DDFABA" w14:textId="77777777" w:rsidTr="00C47CC1">
        <w:trPr>
          <w:cantSplit/>
          <w:trHeight w:hRule="exact" w:val="2681"/>
        </w:trPr>
        <w:tc>
          <w:tcPr>
            <w:tcW w:w="542" w:type="dxa"/>
            <w:vAlign w:val="center"/>
          </w:tcPr>
          <w:p w14:paraId="695914AF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5.</w:t>
            </w:r>
          </w:p>
        </w:tc>
        <w:tc>
          <w:tcPr>
            <w:tcW w:w="2543" w:type="dxa"/>
            <w:vAlign w:val="center"/>
          </w:tcPr>
          <w:p w14:paraId="197B6D5F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/>
              </w:rPr>
              <w:t>Забезпечення життєдіяльності під час відключення електропостачання об’єктів</w:t>
            </w:r>
          </w:p>
        </w:tc>
        <w:tc>
          <w:tcPr>
            <w:tcW w:w="3260" w:type="dxa"/>
            <w:vAlign w:val="center"/>
          </w:tcPr>
          <w:p w14:paraId="2F1F894A" w14:textId="77777777" w:rsidR="00A64929" w:rsidRPr="00D47792" w:rsidRDefault="00A64929" w:rsidP="00C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6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бензинових і електри</w:t>
            </w:r>
            <w:r w:rsidRPr="00D477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чних </w:t>
            </w:r>
            <w:r w:rsidRPr="001006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інструментів</w:t>
            </w:r>
            <w:r w:rsidRPr="00D477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агрегатів живлення</w:t>
            </w:r>
          </w:p>
          <w:p w14:paraId="67E2A310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C968C14" w14:textId="77777777" w:rsidR="00A64929" w:rsidRDefault="00A64929" w:rsidP="00C47CC1">
            <w:pPr>
              <w:ind w:left="113" w:right="113"/>
              <w:jc w:val="center"/>
            </w:pPr>
            <w:r w:rsidRPr="001A667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 31.12.2023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року</w:t>
            </w:r>
          </w:p>
        </w:tc>
        <w:tc>
          <w:tcPr>
            <w:tcW w:w="2410" w:type="dxa"/>
            <w:vAlign w:val="center"/>
          </w:tcPr>
          <w:p w14:paraId="3688D15A" w14:textId="77777777" w:rsidR="00A64929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39D44DBA" w14:textId="77777777" w:rsidR="00A64929" w:rsidRPr="001013A4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20B69EDB" w14:textId="77777777" w:rsidR="00A64929" w:rsidRPr="001013A4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18F8F993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228B30DB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Забезпечення приміщень та пункту управління електрикою</w:t>
            </w:r>
          </w:p>
        </w:tc>
      </w:tr>
      <w:tr w:rsidR="00A64929" w:rsidRPr="001006CD" w14:paraId="32C08C4F" w14:textId="77777777" w:rsidTr="00C47CC1">
        <w:trPr>
          <w:cantSplit/>
          <w:trHeight w:hRule="exact" w:val="2559"/>
        </w:trPr>
        <w:tc>
          <w:tcPr>
            <w:tcW w:w="542" w:type="dxa"/>
            <w:vAlign w:val="center"/>
          </w:tcPr>
          <w:p w14:paraId="6EE8A21C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lastRenderedPageBreak/>
              <w:t>6</w:t>
            </w:r>
            <w:r w:rsidRPr="001006CD">
              <w:rPr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543" w:type="dxa"/>
            <w:vAlign w:val="center"/>
          </w:tcPr>
          <w:p w14:paraId="6DA005A1" w14:textId="77777777" w:rsidR="00A64929" w:rsidRPr="001006CD" w:rsidRDefault="00A64929" w:rsidP="00C47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6CD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</w:p>
          <w:p w14:paraId="2F04DC43" w14:textId="77777777" w:rsidR="00A64929" w:rsidRPr="001006CD" w:rsidRDefault="00A64929" w:rsidP="00C47CC1">
            <w:pPr>
              <w:rPr>
                <w:rFonts w:ascii="Times New Roman" w:hAnsi="Times New Roman" w:cs="Times New Roman"/>
                <w:lang w:val="uk-UA"/>
              </w:rPr>
            </w:pPr>
            <w:r w:rsidRPr="00100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автомобільної техніки для відправки до військових частин</w:t>
            </w:r>
          </w:p>
        </w:tc>
        <w:tc>
          <w:tcPr>
            <w:tcW w:w="3260" w:type="dxa"/>
            <w:vAlign w:val="center"/>
          </w:tcPr>
          <w:p w14:paraId="6882CA08" w14:textId="77777777" w:rsidR="00A64929" w:rsidRPr="009C57B1" w:rsidRDefault="00A64929" w:rsidP="00C47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06CD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100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автомобільних акумуляторів, автомобільних покришок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Pr="009C57B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ремонт автомобілів, запасні частини до автомобілів, </w:t>
            </w:r>
            <w:proofErr w:type="spellStart"/>
            <w:r w:rsidRPr="009C57B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шино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монтажних</w:t>
            </w:r>
            <w:proofErr w:type="spellEnd"/>
            <w:r w:rsidRPr="009C57B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ендів, підйомників автомобільних</w:t>
            </w:r>
          </w:p>
          <w:p w14:paraId="7C8D90FC" w14:textId="77777777" w:rsidR="00A64929" w:rsidRPr="00792BF0" w:rsidRDefault="00A64929" w:rsidP="00C47C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5E000BF5" w14:textId="77777777" w:rsidR="00A64929" w:rsidRDefault="00A64929" w:rsidP="00C47CC1">
            <w:pPr>
              <w:ind w:left="113" w:right="113"/>
              <w:jc w:val="center"/>
            </w:pPr>
            <w:r w:rsidRPr="001A667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 31.12.2023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року</w:t>
            </w:r>
          </w:p>
        </w:tc>
        <w:tc>
          <w:tcPr>
            <w:tcW w:w="2410" w:type="dxa"/>
            <w:vAlign w:val="center"/>
          </w:tcPr>
          <w:p w14:paraId="42D78BF2" w14:textId="77777777" w:rsidR="00A64929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6220A9DD" w14:textId="77777777" w:rsidR="00A64929" w:rsidRPr="001013A4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1A217328" w14:textId="77777777" w:rsidR="00A64929" w:rsidRPr="001013A4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  <w:vAlign w:val="center"/>
          </w:tcPr>
          <w:p w14:paraId="104B8047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  <w:vAlign w:val="center"/>
          </w:tcPr>
          <w:p w14:paraId="3B84E6DB" w14:textId="77777777" w:rsidR="00A64929" w:rsidRPr="001006CD" w:rsidRDefault="00A64929" w:rsidP="00C47C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06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виконання мобілізаційних завдань з поставки автомобільної техніки до в/ч</w:t>
            </w:r>
          </w:p>
          <w:p w14:paraId="749928D6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</w:p>
        </w:tc>
      </w:tr>
      <w:tr w:rsidR="00A64929" w:rsidRPr="001006CD" w14:paraId="2F10F298" w14:textId="77777777" w:rsidTr="00C47CC1">
        <w:tblPrEx>
          <w:tblLook w:val="04A0" w:firstRow="1" w:lastRow="0" w:firstColumn="1" w:lastColumn="0" w:noHBand="0" w:noVBand="1"/>
        </w:tblPrEx>
        <w:trPr>
          <w:trHeight w:hRule="exact" w:val="2559"/>
        </w:trPr>
        <w:tc>
          <w:tcPr>
            <w:tcW w:w="542" w:type="dxa"/>
          </w:tcPr>
          <w:p w14:paraId="1FD38233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7</w:t>
            </w:r>
            <w:r w:rsidRPr="001006CD">
              <w:rPr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543" w:type="dxa"/>
          </w:tcPr>
          <w:p w14:paraId="1036ADA8" w14:textId="77777777" w:rsidR="00A64929" w:rsidRPr="009C57B1" w:rsidRDefault="00A64929" w:rsidP="00C47CC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території та під’їзних шляхів до військового стрільбища</w:t>
            </w:r>
          </w:p>
        </w:tc>
        <w:tc>
          <w:tcPr>
            <w:tcW w:w="3260" w:type="dxa"/>
          </w:tcPr>
          <w:p w14:paraId="1CB0B251" w14:textId="77777777" w:rsidR="00A64929" w:rsidRPr="001475DC" w:rsidRDefault="00A64929" w:rsidP="00C47C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475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Оплата транспортних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1475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475DC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розробка </w:t>
            </w:r>
            <w:proofErr w:type="spellStart"/>
            <w:r w:rsidRPr="001475DC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>проєктної</w:t>
            </w:r>
            <w:proofErr w:type="spellEnd"/>
            <w:r w:rsidRPr="001475DC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документації із землеустрою щодо відведення земельної ділянки, виготовлення технічної документації  з нормативної грошової оцінки земельної ділянки</w:t>
            </w:r>
          </w:p>
          <w:p w14:paraId="41B58E50" w14:textId="77777777" w:rsidR="00A64929" w:rsidRPr="001475DC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51" w:type="dxa"/>
            <w:textDirection w:val="btLr"/>
          </w:tcPr>
          <w:p w14:paraId="6D217870" w14:textId="77777777" w:rsidR="00A64929" w:rsidRDefault="00A64929" w:rsidP="00C47CC1">
            <w:pPr>
              <w:ind w:left="113" w:right="113"/>
              <w:jc w:val="center"/>
            </w:pPr>
            <w:r w:rsidRPr="001A667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 31.12.2023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року</w:t>
            </w:r>
          </w:p>
        </w:tc>
        <w:tc>
          <w:tcPr>
            <w:tcW w:w="2410" w:type="dxa"/>
          </w:tcPr>
          <w:p w14:paraId="381657AD" w14:textId="77777777" w:rsidR="00A64929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sz w:val="24"/>
                <w:szCs w:val="24"/>
                <w:lang w:val="uk-UA" w:eastAsia="uk-UA" w:bidi="uk-UA"/>
              </w:rPr>
              <w:t>Степанківська</w:t>
            </w:r>
            <w:proofErr w:type="spellEnd"/>
            <w:r>
              <w:rPr>
                <w:sz w:val="24"/>
                <w:szCs w:val="24"/>
                <w:lang w:val="uk-UA" w:eastAsia="uk-UA" w:bidi="uk-UA"/>
              </w:rPr>
              <w:t xml:space="preserve"> сільська</w:t>
            </w:r>
            <w:r w:rsidRPr="001013A4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4C2E4C68" w14:textId="77777777" w:rsidR="00A64929" w:rsidRPr="001013A4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13A4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013A4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013A4">
              <w:rPr>
                <w:sz w:val="24"/>
                <w:szCs w:val="24"/>
                <w:lang w:val="uk-UA" w:eastAsia="uk-UA" w:bidi="uk-UA"/>
              </w:rPr>
              <w:t xml:space="preserve"> сільської ради,</w:t>
            </w:r>
          </w:p>
          <w:p w14:paraId="27361357" w14:textId="77777777" w:rsidR="00A64929" w:rsidRPr="001013A4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5003A6">
              <w:rPr>
                <w:sz w:val="24"/>
                <w:szCs w:val="24"/>
                <w:lang w:val="uk-UA" w:eastAsia="uk-UA" w:bidi="uk-UA"/>
              </w:rPr>
              <w:t>Військов</w:t>
            </w:r>
            <w:r>
              <w:rPr>
                <w:sz w:val="24"/>
                <w:szCs w:val="24"/>
                <w:lang w:val="uk-UA" w:eastAsia="uk-UA" w:bidi="uk-UA"/>
              </w:rPr>
              <w:t xml:space="preserve">а </w:t>
            </w:r>
            <w:r w:rsidRPr="005003A6">
              <w:rPr>
                <w:sz w:val="24"/>
                <w:szCs w:val="24"/>
                <w:lang w:val="uk-UA" w:eastAsia="uk-UA" w:bidi="uk-UA"/>
              </w:rPr>
              <w:t>частин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№</w:t>
            </w:r>
            <w:r>
              <w:rPr>
                <w:sz w:val="24"/>
                <w:szCs w:val="24"/>
                <w:lang w:val="uk-UA" w:eastAsia="uk-UA" w:bidi="uk-UA"/>
              </w:rPr>
              <w:t>****</w:t>
            </w:r>
            <w:r w:rsidRPr="005003A6">
              <w:rPr>
                <w:sz w:val="24"/>
                <w:szCs w:val="24"/>
                <w:lang w:val="uk-UA" w:eastAsia="uk-UA" w:bidi="uk-UA"/>
              </w:rPr>
              <w:t xml:space="preserve"> Національної гвардії Україні</w:t>
            </w:r>
          </w:p>
        </w:tc>
        <w:tc>
          <w:tcPr>
            <w:tcW w:w="2693" w:type="dxa"/>
          </w:tcPr>
          <w:p w14:paraId="6090B71D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006CD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006CD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06CD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06CD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006CD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  <w:tc>
          <w:tcPr>
            <w:tcW w:w="2410" w:type="dxa"/>
          </w:tcPr>
          <w:p w14:paraId="2ACDAA74" w14:textId="77777777" w:rsidR="00A64929" w:rsidRPr="001006CD" w:rsidRDefault="00A64929" w:rsidP="00C47CC1">
            <w:pPr>
              <w:pStyle w:val="a6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Забезпечення безперешкодного доступу до військового стрільбища</w:t>
            </w:r>
          </w:p>
        </w:tc>
      </w:tr>
    </w:tbl>
    <w:p w14:paraId="38376B84" w14:textId="77777777" w:rsidR="00A64929" w:rsidRDefault="00A64929" w:rsidP="00A6492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41246691" w14:textId="77777777" w:rsidR="00A64929" w:rsidRDefault="00A64929" w:rsidP="00A64929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7906B775" w14:textId="2C7FAAAF" w:rsidR="00FF6054" w:rsidRDefault="00A64929" w:rsidP="00A64929">
      <w:r>
        <w:rPr>
          <w:rFonts w:ascii="Times New Roman" w:hAnsi="Times New Roman"/>
          <w:sz w:val="24"/>
          <w:szCs w:val="28"/>
          <w:lang w:val="uk-UA"/>
        </w:rPr>
        <w:t xml:space="preserve">Секретар сільської ради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Інна НЕВГОД</w:t>
      </w:r>
    </w:p>
    <w:sectPr w:rsidR="00FF6054" w:rsidSect="00A64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C6"/>
    <w:rsid w:val="00A64929"/>
    <w:rsid w:val="00B87EC6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DF9C8-2B4F-4F54-BE3F-D8382A03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92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Інше_"/>
    <w:basedOn w:val="a0"/>
    <w:link w:val="a6"/>
    <w:rsid w:val="00A649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Інше"/>
    <w:basedOn w:val="a"/>
    <w:link w:val="a5"/>
    <w:rsid w:val="00A64929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3A8B-DC85-4C94-8586-E495A43F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Спецiалiст з IT</dc:creator>
  <cp:keywords/>
  <dc:description/>
  <cp:lastModifiedBy>Спецiалiст з IT</cp:lastModifiedBy>
  <cp:revision>2</cp:revision>
  <dcterms:created xsi:type="dcterms:W3CDTF">2023-12-04T13:51:00Z</dcterms:created>
  <dcterms:modified xsi:type="dcterms:W3CDTF">2023-12-04T13:51:00Z</dcterms:modified>
</cp:coreProperties>
</file>