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</w:p>
    <w:p w:rsidR="0021648B" w:rsidRPr="0021648B" w:rsidRDefault="00ED21D3" w:rsidP="00ED21D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E740F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E516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1648B" w:rsidRPr="00DE78CA">
        <w:rPr>
          <w:rFonts w:ascii="Times New Roman" w:hAnsi="Times New Roman"/>
          <w:sz w:val="28"/>
          <w:szCs w:val="28"/>
          <w:lang w:val="uk-UA"/>
        </w:rPr>
        <w:t>№</w:t>
      </w:r>
      <w:r w:rsidR="00B90DD1">
        <w:rPr>
          <w:rFonts w:ascii="Times New Roman" w:hAnsi="Times New Roman"/>
          <w:sz w:val="28"/>
          <w:szCs w:val="28"/>
          <w:lang w:val="uk-UA"/>
        </w:rPr>
        <w:t>40-06</w:t>
      </w:r>
      <w:r w:rsidR="00E740F0">
        <w:rPr>
          <w:rFonts w:ascii="Times New Roman" w:hAnsi="Times New Roman"/>
          <w:sz w:val="28"/>
          <w:szCs w:val="28"/>
          <w:lang w:val="uk-UA"/>
        </w:rPr>
        <w:t>/</w:t>
      </w:r>
      <w:r w:rsidR="00E740F0">
        <w:rPr>
          <w:rFonts w:ascii="Times New Roman" w:hAnsi="Times New Roman"/>
          <w:sz w:val="28"/>
          <w:szCs w:val="28"/>
          <w:lang w:val="en-US"/>
        </w:rPr>
        <w:t>VIII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«</w:t>
      </w:r>
      <w:r w:rsidR="00B90D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11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B90DD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6E51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жовтня</w:t>
      </w:r>
      <w:r w:rsidR="000C49D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2023</w:t>
      </w:r>
      <w:r w:rsidR="0021648B"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C49D9" w:rsidRDefault="000C49D9" w:rsidP="00BF60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Пояснювальна записка</w:t>
      </w:r>
    </w:p>
    <w:p w:rsidR="008E03B2" w:rsidRPr="000C49D9" w:rsidRDefault="000C49D9" w:rsidP="000C4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до звіту 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альної громади за </w:t>
      </w:r>
      <w:r w:rsidR="006E5164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9 місяців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2023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Default="000C49D9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місцевого бюджету</w:t>
      </w:r>
    </w:p>
    <w:p w:rsidR="000C49D9" w:rsidRPr="000C49D9" w:rsidRDefault="000C49D9" w:rsidP="008E03B2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105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альної громади за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уточнені планові показники бюджету сільської територіальної громади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на період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по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доходній частині становили в сумі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65180460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64716220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по спеціальному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464240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Фактично на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 xml:space="preserve">дійшло доходів за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всього в сумі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101201985,31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100770445,32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155,71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уточненого плану враховуючи трансферти,  по спеціальному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92,96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% до уточненого плану, додаток 1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я трансфертів,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разом склали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87046964,31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власних надходжень по фондах в цілому становить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170,61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уточнених планових показників по фондах в цілому, що склали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51022348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грн). Питома вага фактичних власних надходжень у бюджеті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по обох фондах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році склала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86,01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альному фондах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року склали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14155021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виконання по міжбюджетних трансфертах по ф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ондах в цілому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відносно уточнених планових показників (план на період –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14158112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 становить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99,98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 Питома вага фактично отриманих  міжбюджетн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их трансфертів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 бюджеті по обох фондах в цілому склала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13,99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4D126B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r w:rsidR="00AD7EAE">
        <w:rPr>
          <w:rFonts w:ascii="Times New Roman" w:hAnsi="Times New Roman"/>
          <w:sz w:val="24"/>
          <w:szCs w:val="24"/>
          <w:lang w:val="uk-UA" w:eastAsia="en-US"/>
        </w:rPr>
        <w:t>9 місяців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2023</w:t>
      </w:r>
      <w:r w:rsidR="008E03B2" w:rsidRPr="008E03B2">
        <w:rPr>
          <w:rFonts w:ascii="Times New Roman" w:hAnsi="Times New Roman"/>
          <w:sz w:val="24"/>
          <w:szCs w:val="24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4869815" cy="1323975"/>
            <wp:effectExtent l="0" t="38100" r="698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загального фонду бюджету територіальної громади надійшло доходів всього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100770445,32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власні надходження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86615424,32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відносно уточненого плану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171,32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50558108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перевиконання по власних надходженнях загального фонду склалось у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36057316,32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грн); питома вага фактичних власних надходжень у надходженнях загального фонду становить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85,95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порівняно з надходженнями за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власні надходження загального фонду збільшились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17374186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або ж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125,09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%, додаток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міжбюджетні трансферти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14155021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99,98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14158112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грн), питома вага у надходженнях загального фонду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14,05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надходженнями за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міжбюджетні трансферти загального фонду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меншились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2201286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ж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13,4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%, додаток </w:t>
      </w:r>
      <w:r w:rsidR="00477AF5">
        <w:rPr>
          <w:rFonts w:ascii="Times New Roman" w:hAnsi="Times New Roman"/>
          <w:sz w:val="28"/>
          <w:szCs w:val="28"/>
          <w:lang w:val="uk-UA" w:eastAsia="en-US"/>
        </w:rPr>
        <w:t>2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НАДХОДЖЕННЯ ЗАГАЛЬНОГО ФОНДУ БЮДЖЕТУ СТЕПАНКІВСЬКОЇ СІЛЬСЬКОЇ ТЕРИТОРІАЛЬНОЇ ГРОМАДИ  ЗА </w:t>
      </w:r>
      <w:r w:rsidR="00C230FE">
        <w:rPr>
          <w:rFonts w:ascii="Times New Roman" w:hAnsi="Times New Roman"/>
          <w:sz w:val="24"/>
          <w:szCs w:val="24"/>
          <w:lang w:val="uk-UA" w:eastAsia="en-US"/>
        </w:rPr>
        <w:t>9МІСЯЦІВ</w:t>
      </w: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17D5A">
        <w:rPr>
          <w:rFonts w:ascii="Times New Roman" w:hAnsi="Times New Roman"/>
          <w:sz w:val="24"/>
          <w:szCs w:val="24"/>
          <w:lang w:val="uk-UA" w:eastAsia="en-US"/>
        </w:rPr>
        <w:t>ПО РОКАХ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166"/>
      </w:tblGrid>
      <w:tr w:rsidR="008E03B2" w:rsidRPr="008E03B2" w:rsidTr="000C49D9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0C49D9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3143250" cy="17621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Default="00E95EF5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86615424,32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становить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171,32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отримані до бюджету власні та закріпле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ні надходження за </w:t>
      </w:r>
      <w:r w:rsidR="00852CD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включають:</w:t>
      </w:r>
    </w:p>
    <w:p w:rsidR="000C5BDD" w:rsidRDefault="000C5BD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C5BDD" w:rsidRDefault="000C5BD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840"/>
        <w:gridCol w:w="5353"/>
        <w:gridCol w:w="1031"/>
        <w:gridCol w:w="1029"/>
        <w:gridCol w:w="1050"/>
        <w:gridCol w:w="817"/>
      </w:tblGrid>
      <w:tr w:rsidR="00852CDD" w:rsidRPr="00852CDD" w:rsidTr="00852CDD">
        <w:trPr>
          <w:trHeight w:val="19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Виконання з початку року</w:t>
            </w:r>
          </w:p>
        </w:tc>
      </w:tr>
      <w:tr w:rsidR="00852CDD" w:rsidRPr="00852CDD" w:rsidTr="00852CDD">
        <w:trPr>
          <w:trHeight w:val="67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Уточнений план на період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Фактично надійшло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(+/-)</w:t>
            </w: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відхилення до уточненого плану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%</w:t>
            </w: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виконання до уточненого плану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10000000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50 359 205,00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85 791 660,18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35 432 455,18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170,36 %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11000000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38 306 790,00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73 380 121,47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35 073 331,47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191,56 %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11010000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38 306 790,00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73 380 121,47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35 073 331,47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191,56 %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18 614 772,00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18 566 653,37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-48 118,63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99,74 %</w:t>
            </w:r>
          </w:p>
        </w:tc>
      </w:tr>
      <w:tr w:rsidR="00852CDD" w:rsidRPr="00852CDD" w:rsidTr="00852CDD">
        <w:trPr>
          <w:trHeight w:val="6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18 791 618,00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52 376 359,28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33 584 741,28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278,72 %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718 000,00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1 912 842,00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1 194 842,00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266,41 %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182 400,00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524 266,82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341 866,82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287,43 %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96 195,00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150 749,22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54 554,22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156,71 %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за спеціальне використання лісових ресурсів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16 575,00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33 364,05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16 789,05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201,29 %</w:t>
            </w:r>
          </w:p>
        </w:tc>
      </w:tr>
      <w:tr w:rsidR="00852CDD" w:rsidRPr="00852CDD" w:rsidTr="00852CDD">
        <w:trPr>
          <w:trHeight w:val="6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13010200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16 575,00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33 364,05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16 789,05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201,29 %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13030000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79 620,00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117 385,17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37 765,17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147,43 %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13030100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79 620,00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117 385,17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37 765,17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147,43 %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3 353 745,00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2 476 975,25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-876 769,75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73,86 %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14020000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358 750,00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178 858,20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-179 891,80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49,86 %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14021900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Пальне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358 750,00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178 858,20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-179 891,80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49,86 %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14030000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1 440 200,00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639 018,26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-801 181,74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44,37 %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14031900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Пальне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1 440 200,00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639 018,26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-801 181,74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44,37 %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14040000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1 554 795,00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1 659 098,79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104 303,79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106,71 %</w:t>
            </w:r>
          </w:p>
        </w:tc>
      </w:tr>
      <w:tr w:rsidR="00852CDD" w:rsidRPr="00852CDD" w:rsidTr="00852CDD">
        <w:trPr>
          <w:trHeight w:val="9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14040100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977 463,00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1 342 487,65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365 024,65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137,34 %</w:t>
            </w:r>
          </w:p>
        </w:tc>
      </w:tr>
      <w:tr w:rsidR="00852CDD" w:rsidRPr="00852CDD" w:rsidTr="00852CDD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14040200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577 332,00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316 611,14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-260 720,86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54,84 %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8 602 475,00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9 783 814,24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1 181 339,24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113,73 %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Податок на майно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5 225 545,00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6 167 428,73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941 883,73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118,02 %</w:t>
            </w:r>
          </w:p>
        </w:tc>
      </w:tr>
      <w:tr w:rsidR="00852CDD" w:rsidRPr="00852CDD" w:rsidTr="00852CDD">
        <w:trPr>
          <w:trHeight w:val="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3 357,34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507,34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117,80 %</w:t>
            </w:r>
          </w:p>
        </w:tc>
      </w:tr>
      <w:tr w:rsidR="00852CDD" w:rsidRPr="00852CDD" w:rsidTr="00852CD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11 174,54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7 374,54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294,07 %</w:t>
            </w:r>
          </w:p>
        </w:tc>
      </w:tr>
      <w:tr w:rsidR="00852CDD" w:rsidRPr="00852CDD" w:rsidTr="00852CDD">
        <w:trPr>
          <w:trHeight w:val="4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10 215,00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10 854,20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106,26 %</w:t>
            </w:r>
          </w:p>
        </w:tc>
      </w:tr>
      <w:tr w:rsidR="00852CDD" w:rsidRPr="00852CDD" w:rsidTr="00852CDD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976 035,00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1 262 955,55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286 920,55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129,40 %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Земельний податок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690 030,00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743 780,64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53 750,64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107,79 %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18010600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Орендна плата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3 126 645,00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3 797 310,28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670 665,28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121,45 %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18010700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Земельний податок з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113 004,37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-92 995,63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54,86 %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lastRenderedPageBreak/>
              <w:t>18010900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Орендна плата з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209 970,00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206 241,81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-3 728,19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98,22 %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18011100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Транспортний податок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18050000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Єдиний податок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3 376 930,00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3 616 385,51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239 455,51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107,09 %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314 838,21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136 338,21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176,38 %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2 595 480,00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2 657 101,75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61 621,75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102,37 %</w:t>
            </w:r>
          </w:p>
        </w:tc>
      </w:tr>
      <w:tr w:rsidR="00852CDD" w:rsidRPr="00852CDD" w:rsidTr="00852CDD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товаровиробництва</w:t>
            </w:r>
            <w:proofErr w:type="spellEnd"/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602 950,00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644 445,55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41 495,55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106,88 %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20000000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Неподаткові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198 903,00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823 764,14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624 861,14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414,15 %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21000000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21080000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21080900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Штрафні санкції за порушення законодавства про патентування, за порушення норм регулювання обігу готівки та про застосування реєстраторів розрахункових операцій у сфері торгівлі, громадського харчування та послуг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7 136,00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7 136,00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7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13 600,00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21081800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Адміністративні штрафи за адміністративні правопорушення у сфері забезпечення безпеки дорожнього руху, зафіксовані в автоматичному режимі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633 003,24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633 003,24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198 903,00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166 009,90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-32 893,10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83,46 %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145 806,32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-37 193,68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79,68 %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22012500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16 692,32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9 192,32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222,56 %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22012600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175 500,00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129 114,00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-46 386,00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73,57 %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22080000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19 601,82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3 851,82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124,46 %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22080400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19 601,82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3 851,82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124,46 %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22090000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Державне мито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601,76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448,76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393,31 %</w:t>
            </w:r>
          </w:p>
        </w:tc>
      </w:tr>
      <w:tr w:rsidR="00852CDD" w:rsidRPr="00852CDD" w:rsidTr="00852CDD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22090100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-61,24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59,97 %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22090200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Державне мито, не віднесене до інших категорій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24000000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неподаткові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24060000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24060300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</w:tbl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</w:t>
      </w:r>
      <w:r w:rsidR="00852CDD">
        <w:rPr>
          <w:rFonts w:ascii="Times New Roman" w:eastAsia="Times New Roman" w:hAnsi="Times New Roman"/>
          <w:sz w:val="24"/>
          <w:szCs w:val="24"/>
          <w:lang w:val="uk-UA"/>
        </w:rPr>
        <w:t>9 МІСЯЦІВ</w:t>
      </w:r>
      <w:r w:rsidR="00B67B7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>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3D1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0C4F88" wp14:editId="1F53E10F">
            <wp:extent cx="5543550" cy="24765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lastRenderedPageBreak/>
        <w:t>2.2. Міжбюджетні трансферти загального фонду</w:t>
      </w:r>
    </w:p>
    <w:p w:rsidR="0004620F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За 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 xml:space="preserve">9 місяців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сільської територіальної громади надійшло міжбюджетних трансфертів всього в сумі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>14155021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при уточненому плані на період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>14158112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 xml:space="preserve"> грн виконання становить </w:t>
      </w:r>
      <w:r w:rsidR="0004620F">
        <w:rPr>
          <w:rFonts w:ascii="Times New Roman" w:eastAsia="Times New Roman" w:hAnsi="Times New Roman"/>
          <w:sz w:val="28"/>
          <w:szCs w:val="28"/>
          <w:lang w:val="uk-UA"/>
        </w:rPr>
        <w:t>99,98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%, в тому числі:</w:t>
      </w:r>
    </w:p>
    <w:p w:rsidR="0004620F" w:rsidRDefault="0004620F" w:rsidP="008E03B2">
      <w:pPr>
        <w:spacing w:after="0" w:line="240" w:lineRule="auto"/>
        <w:jc w:val="both"/>
        <w:rPr>
          <w:lang w:val="uk-UA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839"/>
        <w:gridCol w:w="5252"/>
        <w:gridCol w:w="1032"/>
        <w:gridCol w:w="1031"/>
        <w:gridCol w:w="1052"/>
        <w:gridCol w:w="818"/>
      </w:tblGrid>
      <w:tr w:rsidR="0004620F" w:rsidRPr="0004620F" w:rsidTr="0004620F">
        <w:trPr>
          <w:trHeight w:val="19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Виконання з початку року</w:t>
            </w:r>
          </w:p>
        </w:tc>
      </w:tr>
      <w:tr w:rsidR="0004620F" w:rsidRPr="0004620F" w:rsidTr="0004620F">
        <w:trPr>
          <w:trHeight w:val="67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Уточнений план на період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Фактично надійшло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(+/-)</w:t>
            </w: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відхилення до уточненого плану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%</w:t>
            </w: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виконання до уточненого плану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Офіційні трансферти 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14 158 112,00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14 155 021,00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99,98 %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14 158 112,00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14 155 021,00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99,98 %</w:t>
            </w:r>
          </w:p>
        </w:tc>
      </w:tr>
      <w:tr w:rsidR="0004620F" w:rsidRPr="0004620F" w:rsidTr="0004620F">
        <w:trPr>
          <w:trHeight w:val="2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41030000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41033900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41040000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5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41040200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41050000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2 120 912,00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2 117 821,00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99,85 %</w:t>
            </w:r>
          </w:p>
        </w:tc>
      </w:tr>
      <w:tr w:rsidR="0004620F" w:rsidRPr="0004620F" w:rsidTr="0004620F">
        <w:trPr>
          <w:trHeight w:val="5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41051200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20 502,00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20 502,00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5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41051700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9 216,00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9 216,00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41053900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2 091 194,00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2 088 103,00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99,85 %</w:t>
            </w:r>
          </w:p>
        </w:tc>
      </w:tr>
    </w:tbl>
    <w:p w:rsidR="0004620F" w:rsidRDefault="0004620F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</w:t>
      </w:r>
      <w:r w:rsidR="0004620F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216343">
        <w:rPr>
          <w:rFonts w:ascii="Times New Roman" w:hAnsi="Times New Roman"/>
          <w:sz w:val="28"/>
          <w:szCs w:val="28"/>
          <w:lang w:val="uk-UA" w:eastAsia="en-US"/>
        </w:rPr>
        <w:t>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становить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92,96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уточненого плану на період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464240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а в частині власних надходжень віднос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но річного п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лану), додаток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1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Default="005F1D09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>адходжень міжбюджетних трансфертів по спец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іальному фонду за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 xml:space="preserve">9 місяців </w:t>
      </w:r>
      <w:r>
        <w:rPr>
          <w:rFonts w:ascii="Times New Roman" w:hAnsi="Times New Roman"/>
          <w:sz w:val="28"/>
          <w:szCs w:val="28"/>
          <w:lang w:val="uk-UA" w:eastAsia="en-US"/>
        </w:rPr>
        <w:t>2023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не було та не планувалось.</w:t>
      </w:r>
    </w:p>
    <w:p w:rsidR="0004620F" w:rsidRPr="008E03B2" w:rsidRDefault="0004620F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92,96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(в частині власних надходжень відносно річного плану), питома вага власних надходжень у надходженнях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одження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144109,25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93,37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відносно уточненого плану на період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154350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недо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виконання становить в сумі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10240,75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 тому числі по надходженнях екологічного податку в сумі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65779,55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питома вага податкових надходжень у фактичних надходженнях спеціального фонду становить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33,4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4282"/>
      </w:tblGrid>
      <w:tr w:rsidR="008E03B2" w:rsidRPr="008E03B2" w:rsidTr="000C49D9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35337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0B1932" w:rsidP="00675869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Порівняно з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періодом 9 місяців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податкові надходження по спеціальному фонду з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меншились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10261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грн, або ж на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6,65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>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ві надходження за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становлять всього в сумі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280390,85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річного плану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91,56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Default="008E03B2" w:rsidP="00860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ільових фондів за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склали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7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039,89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на період складає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192,87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питома вага фактичних надходжень до спеціального фонду становить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1,63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D30C10" w:rsidRPr="00D30C10" w:rsidRDefault="00D30C10" w:rsidP="00860B7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en-US"/>
        </w:rPr>
      </w:pPr>
    </w:p>
    <w:tbl>
      <w:tblPr>
        <w:tblStyle w:val="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6291"/>
      </w:tblGrid>
      <w:tr w:rsidR="008E03B2" w:rsidRPr="008E03B2" w:rsidTr="00453A96">
        <w:trPr>
          <w:trHeight w:val="1766"/>
        </w:trPr>
        <w:tc>
          <w:tcPr>
            <w:tcW w:w="4253" w:type="dxa"/>
          </w:tcPr>
          <w:p w:rsidR="008E03B2" w:rsidRPr="008E03B2" w:rsidRDefault="008E03B2" w:rsidP="0067586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Фактичні надходження цільових фон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дів порівняно з 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періодом 9 місяців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>6339,89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3857625" cy="11906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</w:t>
      </w:r>
      <w:r w:rsidR="00223DCB">
        <w:rPr>
          <w:rFonts w:ascii="Times New Roman" w:eastAsia="Times New Roman" w:hAnsi="Times New Roman"/>
          <w:sz w:val="24"/>
          <w:szCs w:val="24"/>
          <w:lang w:val="uk-UA"/>
        </w:rPr>
        <w:t>9 МІСЯЦІВ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4781550" cy="160020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E2A" w:rsidRDefault="00450E2A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E03B2" w:rsidRPr="00BC09FE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4. Надходження до бюджету Степанківської сільської територіальної громади за </w:t>
      </w:r>
      <w:r w:rsidR="00330F08">
        <w:rPr>
          <w:rFonts w:ascii="Times New Roman" w:eastAsia="Times New Roman" w:hAnsi="Times New Roman"/>
          <w:sz w:val="28"/>
          <w:szCs w:val="28"/>
          <w:u w:val="single"/>
          <w:lang w:val="uk-UA"/>
        </w:rPr>
        <w:t>9 місяців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202</w:t>
      </w:r>
      <w:r w:rsidR="00450E2A" w:rsidRPr="00BC09FE">
        <w:rPr>
          <w:rFonts w:ascii="Times New Roman" w:eastAsia="Times New Roman" w:hAnsi="Times New Roman"/>
          <w:sz w:val="28"/>
          <w:szCs w:val="28"/>
          <w:u w:val="single"/>
          <w:lang w:val="uk-UA"/>
        </w:rPr>
        <w:t>3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0C49D9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0C49D9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0C49D9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0C49D9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0C49D9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0C49D9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0C49D9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0C49D9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ТОВ «Еліта»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0C49D9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«Плескачівка», ТОВ «Агропромислова компанія «Маїс», ТОВ «НВФ «Урожай».</w:t>
      </w:r>
    </w:p>
    <w:p w:rsidR="00FC2C6D" w:rsidRPr="008E03B2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аграрного сектору за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звітного року характеризуються:</w:t>
      </w:r>
    </w:p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12"/>
        <w:tblW w:w="1008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70"/>
        <w:gridCol w:w="1021"/>
        <w:gridCol w:w="1134"/>
        <w:gridCol w:w="992"/>
        <w:gridCol w:w="851"/>
        <w:gridCol w:w="874"/>
        <w:gridCol w:w="968"/>
        <w:gridCol w:w="874"/>
      </w:tblGrid>
      <w:tr w:rsidR="008E03B2" w:rsidRPr="008E03B2" w:rsidTr="006561C8">
        <w:trPr>
          <w:cantSplit/>
          <w:trHeight w:val="1562"/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10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992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85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415009</w:t>
            </w:r>
          </w:p>
        </w:tc>
        <w:tc>
          <w:tcPr>
            <w:tcW w:w="1021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1237933</w:t>
            </w:r>
          </w:p>
        </w:tc>
        <w:tc>
          <w:tcPr>
            <w:tcW w:w="1134" w:type="dxa"/>
          </w:tcPr>
          <w:p w:rsidR="008E03B2" w:rsidRPr="008E03B2" w:rsidRDefault="006561C8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356428</w:t>
            </w:r>
          </w:p>
        </w:tc>
        <w:tc>
          <w:tcPr>
            <w:tcW w:w="992" w:type="dxa"/>
          </w:tcPr>
          <w:p w:rsidR="008E03B2" w:rsidRPr="008E03B2" w:rsidRDefault="006561C8" w:rsidP="008C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1068086</w:t>
            </w:r>
          </w:p>
        </w:tc>
        <w:tc>
          <w:tcPr>
            <w:tcW w:w="851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586493</w:t>
            </w:r>
          </w:p>
        </w:tc>
        <w:tc>
          <w:tcPr>
            <w:tcW w:w="874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281525</w:t>
            </w:r>
          </w:p>
        </w:tc>
        <w:tc>
          <w:tcPr>
            <w:tcW w:w="968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1146915</w:t>
            </w:r>
          </w:p>
        </w:tc>
        <w:tc>
          <w:tcPr>
            <w:tcW w:w="874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27686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330F0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103800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639701</w:t>
            </w:r>
          </w:p>
        </w:tc>
        <w:tc>
          <w:tcPr>
            <w:tcW w:w="1134" w:type="dxa"/>
          </w:tcPr>
          <w:p w:rsidR="008E03B2" w:rsidRPr="008E03B2" w:rsidRDefault="00A378E4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347484</w:t>
            </w: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585933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202059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362091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203815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13953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60660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330F0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6085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40344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A378E4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464368</w:t>
            </w: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2366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81121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117213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A378E4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603718</w:t>
            </w: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676867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27539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224003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232096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62640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46931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  <w:p w:rsidR="006561C8" w:rsidRPr="008E03B2" w:rsidRDefault="006561C8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</w:t>
            </w:r>
          </w:p>
        </w:tc>
        <w:tc>
          <w:tcPr>
            <w:tcW w:w="968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  <w:p w:rsidR="006561C8" w:rsidRPr="008E03B2" w:rsidRDefault="006561C8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«Мало-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«Мало-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FC2C6D" w:rsidRPr="00BC09FE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промислового сектору за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характеризуються:</w:t>
      </w:r>
    </w:p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C2C6D" w:rsidRPr="00BC09FE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1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46"/>
        <w:gridCol w:w="885"/>
        <w:gridCol w:w="1134"/>
        <w:gridCol w:w="957"/>
        <w:gridCol w:w="1276"/>
        <w:gridCol w:w="993"/>
      </w:tblGrid>
      <w:tr w:rsidR="008E03B2" w:rsidRPr="008E03B2" w:rsidTr="009B41FE">
        <w:trPr>
          <w:cantSplit/>
          <w:trHeight w:val="1562"/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</w:t>
            </w:r>
            <w:r w:rsidR="00FC2C6D">
              <w:rPr>
                <w:rFonts w:ascii="Times New Roman" w:eastAsia="Times New Roman" w:hAnsi="Times New Roman"/>
                <w:lang w:val="uk-UA"/>
              </w:rPr>
              <w:t>’</w:t>
            </w:r>
            <w:r w:rsidRPr="008E03B2">
              <w:rPr>
                <w:rFonts w:ascii="Times New Roman" w:eastAsia="Times New Roman" w:hAnsi="Times New Roman"/>
                <w:lang w:val="uk-UA"/>
              </w:rPr>
              <w:t>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8919919</w:t>
            </w:r>
          </w:p>
        </w:tc>
        <w:tc>
          <w:tcPr>
            <w:tcW w:w="885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438756</w:t>
            </w:r>
          </w:p>
        </w:tc>
        <w:tc>
          <w:tcPr>
            <w:tcW w:w="1134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369637</w:t>
            </w:r>
          </w:p>
        </w:tc>
        <w:tc>
          <w:tcPr>
            <w:tcW w:w="957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1013643</w:t>
            </w:r>
          </w:p>
        </w:tc>
        <w:tc>
          <w:tcPr>
            <w:tcW w:w="1276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2147865</w:t>
            </w:r>
          </w:p>
        </w:tc>
        <w:tc>
          <w:tcPr>
            <w:tcW w:w="993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88651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7391584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252896</w:t>
            </w:r>
          </w:p>
        </w:tc>
        <w:tc>
          <w:tcPr>
            <w:tcW w:w="1134" w:type="dxa"/>
          </w:tcPr>
          <w:p w:rsidR="008E03B2" w:rsidRPr="008E03B2" w:rsidRDefault="00FC2C6D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369637</w:t>
            </w: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715908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1479898</w:t>
            </w:r>
          </w:p>
        </w:tc>
        <w:tc>
          <w:tcPr>
            <w:tcW w:w="993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17523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1302594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56715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95685</w:t>
            </w:r>
          </w:p>
        </w:tc>
        <w:tc>
          <w:tcPr>
            <w:tcW w:w="885" w:type="dxa"/>
          </w:tcPr>
          <w:p w:rsidR="008E03B2" w:rsidRPr="008E03B2" w:rsidRDefault="00FC2C6D" w:rsidP="0006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75733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239637</w:t>
            </w: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12430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98859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97915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482495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71128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604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</w:t>
            </w: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1831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2280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114496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28313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57524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C2C6D" w:rsidRPr="008E03B2" w:rsidTr="009B41FE">
        <w:trPr>
          <w:jc w:val="center"/>
        </w:trPr>
        <w:tc>
          <w:tcPr>
            <w:tcW w:w="3539" w:type="dxa"/>
          </w:tcPr>
          <w:p w:rsidR="00FC2C6D" w:rsidRPr="008E03B2" w:rsidRDefault="00FC2C6D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транспортний податок з юридичних осіб</w:t>
            </w:r>
          </w:p>
        </w:tc>
        <w:tc>
          <w:tcPr>
            <w:tcW w:w="1146" w:type="dxa"/>
          </w:tcPr>
          <w:p w:rsidR="00FC2C6D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10417</w:t>
            </w:r>
          </w:p>
        </w:tc>
        <w:tc>
          <w:tcPr>
            <w:tcW w:w="1134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FC2C6D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за </w:t>
      </w:r>
      <w:r w:rsidR="0092439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та </w:t>
      </w:r>
      <w:r w:rsidR="0092439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8E03B2" w:rsidRPr="008E03B2" w:rsidTr="00791348">
        <w:trPr>
          <w:trHeight w:val="2176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415009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191275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19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3162300" cy="13239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891" w:type="dxa"/>
        <w:tblLook w:val="04A0" w:firstRow="1" w:lastRow="0" w:firstColumn="1" w:lastColumn="0" w:noHBand="0" w:noVBand="1"/>
      </w:tblPr>
      <w:tblGrid>
        <w:gridCol w:w="4721"/>
        <w:gridCol w:w="5170"/>
      </w:tblGrid>
      <w:tr w:rsidR="008E03B2" w:rsidRPr="008E03B2" w:rsidTr="00EB3413">
        <w:trPr>
          <w:trHeight w:val="2535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1237933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C2545A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114129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076" w:type="dxa"/>
          </w:tcPr>
          <w:p w:rsidR="008E03B2" w:rsidRPr="008E03B2" w:rsidRDefault="008E03B2" w:rsidP="002F5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145790" cy="156972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2476D2" w:rsidRPr="002476D2">
        <w:rPr>
          <w:rFonts w:ascii="Times New Roman" w:eastAsia="Times New Roman" w:hAnsi="Times New Roman"/>
          <w:sz w:val="28"/>
          <w:szCs w:val="28"/>
          <w:lang w:val="uk-UA"/>
        </w:rPr>
        <w:t>Філія «Птахофабрика «Перше Травня»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ТОВ «ПЕРШЕ ТРАВНЯ КОМБІКОРМОВИЙ ЗАВОД» (виробництво готових кормів для тв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>арин, що утримуються на фермах)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rPr>
          <w:trHeight w:val="2212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356428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564C0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173580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3219450" cy="13620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78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1068086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262891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3150870" cy="1423035"/>
                  <wp:effectExtent l="0" t="0" r="0" b="57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8E03B2" w:rsidRPr="008E03B2" w:rsidTr="00671B7E">
        <w:trPr>
          <w:trHeight w:val="2286"/>
        </w:trPr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586493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59586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195320" cy="1333500"/>
                  <wp:effectExtent l="0" t="1905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281525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39961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119120" cy="1285875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1146915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41056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107690" cy="1171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5479"/>
        <w:gridCol w:w="4581"/>
      </w:tblGrid>
      <w:tr w:rsidR="008E03B2" w:rsidRPr="008E03B2" w:rsidTr="00AB5E8A">
        <w:tc>
          <w:tcPr>
            <w:tcW w:w="5524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27686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138310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</w:t>
            </w:r>
            <w:r w:rsid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</w:t>
            </w:r>
            <w:r w:rsidR="00AB5E8A" w:rsidRP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корочення надходжень було спричинено зменшенням площі земельної ділянки, що орендується</w:t>
            </w:r>
            <w:r w:rsid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товариством</w:t>
            </w:r>
            <w:r w:rsidR="00AB5E8A" w:rsidRP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оскільки був укладений договір оренди з ТОВ «АВЕЛАНА» на 229,78 га, відповідно орендована площа ТОВ «АПК «МАЇС» складатиме 34,35 га</w:t>
            </w:r>
          </w:p>
        </w:tc>
        <w:tc>
          <w:tcPr>
            <w:tcW w:w="453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2771775" cy="1285875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8919919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грн, що порівняно з надходженнями зарахованими від платника за </w:t>
            </w:r>
            <w:r w:rsidR="001B6875" w:rsidRP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9 місяців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більше на </w:t>
            </w:r>
            <w:r w:rsid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2453792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962275" cy="119062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5209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438756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</w:t>
            </w:r>
            <w:r w:rsidR="006E1AB5" w:rsidRP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9 місяців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більше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59289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209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3149600" cy="1397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«ГРОСДОРФ»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, виробництво пестицидів та іншої агрохімічної продукції):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369637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E1AB5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менше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19783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3157855" cy="1552575"/>
                  <wp:effectExtent l="0" t="0" r="4445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1013643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E1AB5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153549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3115945" cy="1379855"/>
                  <wp:effectExtent l="0" t="0" r="825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2147865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 w:rsidRP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 місяців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525599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124200" cy="1295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50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88651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 w:rsidRP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 місяців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14463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33090" cy="11525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7"/>
        <w:gridCol w:w="5286"/>
      </w:tblGrid>
      <w:tr w:rsidR="008E03B2" w:rsidRPr="008E03B2" w:rsidTr="002672BB">
        <w:trPr>
          <w:trHeight w:val="2116"/>
        </w:trPr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3396996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233877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3219450" cy="13144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ому за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забезпечили надходження всього в сумі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18098546</w:t>
      </w:r>
      <w:r w:rsidR="00565CA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20,79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від власних та закріплених доходів бюджету за фондами в цілому, в тому числі з них: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сновні сільськогосподарські підприємства забезпечили надходження в сумі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5120075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становить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5,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промислові підприємства забезпечили надходження в сумі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12978471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що становить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14,9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осіб, що сплачують податки і збори, тощо. Такі платники забезпечили надходження бюджету за фондами в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цілому за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041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 сумі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30724079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35,3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 власних та закріплених доходів бюджету за фондами в цілому. </w:t>
      </w:r>
    </w:p>
    <w:p w:rsidR="008E03B2" w:rsidRPr="0035184D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 w:eastAsia="en-US"/>
        </w:rPr>
      </w:pPr>
    </w:p>
    <w:p w:rsidR="000C5BDD" w:rsidRDefault="000C5BDD" w:rsidP="00957BE2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365DEA" w:rsidRPr="006C2F42" w:rsidRDefault="00365DEA" w:rsidP="00365DEA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ВИКОНАННЯ ВИДАТКОВОЇ ЧАСТИНИ БЮДЖЕТУ</w:t>
      </w:r>
    </w:p>
    <w:p w:rsidR="00365DEA" w:rsidRPr="006C2F42" w:rsidRDefault="00365DEA" w:rsidP="00365DEA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365DEA" w:rsidRPr="006C2F42" w:rsidRDefault="00365DEA" w:rsidP="003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F42">
        <w:rPr>
          <w:rFonts w:ascii="Times New Roman" w:hAnsi="Times New Roman"/>
          <w:sz w:val="28"/>
          <w:szCs w:val="28"/>
          <w:lang w:val="uk-UA"/>
        </w:rPr>
        <w:t xml:space="preserve">Видатки  бюджету Степанківської сільської територіальної громади  за </w:t>
      </w:r>
      <w:r>
        <w:rPr>
          <w:rFonts w:ascii="Times New Roman" w:hAnsi="Times New Roman"/>
          <w:sz w:val="28"/>
          <w:szCs w:val="28"/>
          <w:lang w:val="uk-UA"/>
        </w:rPr>
        <w:t>дев’ять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 виконані в сумі </w:t>
      </w:r>
      <w:r>
        <w:rPr>
          <w:rFonts w:ascii="Times New Roman" w:hAnsi="Times New Roman"/>
          <w:sz w:val="28"/>
          <w:szCs w:val="28"/>
          <w:lang w:val="uk-UA"/>
        </w:rPr>
        <w:t>97616941,07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грн, в </w:t>
      </w:r>
      <w:proofErr w:type="spellStart"/>
      <w:r w:rsidRPr="006C2F4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6C2F42">
        <w:rPr>
          <w:rFonts w:ascii="Times New Roman" w:hAnsi="Times New Roman"/>
          <w:sz w:val="28"/>
          <w:szCs w:val="28"/>
          <w:lang w:val="uk-UA"/>
        </w:rPr>
        <w:t xml:space="preserve">. із загального фонду бюджету Степанківської сільської територіальної громади на утримання установ, фінансування програм та заходів спрямовано </w:t>
      </w:r>
      <w:r>
        <w:rPr>
          <w:rFonts w:ascii="Times New Roman" w:hAnsi="Times New Roman"/>
          <w:sz w:val="28"/>
          <w:szCs w:val="28"/>
          <w:lang w:val="uk-UA"/>
        </w:rPr>
        <w:t>79829335,28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грн, із спеціального фонду бюджету – </w:t>
      </w:r>
      <w:r>
        <w:rPr>
          <w:rFonts w:ascii="Times New Roman" w:hAnsi="Times New Roman"/>
          <w:sz w:val="28"/>
          <w:szCs w:val="28"/>
          <w:lang w:val="uk-UA"/>
        </w:rPr>
        <w:t>17787605,79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3 до пояснювальної записки)</w:t>
      </w:r>
      <w:r w:rsidRPr="006C2F4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Передано міжбюджетних трансферів іншим бюджетам в сумі </w:t>
      </w:r>
      <w:r>
        <w:rPr>
          <w:rFonts w:ascii="Times New Roman" w:hAnsi="Times New Roman"/>
          <w:sz w:val="28"/>
          <w:szCs w:val="28"/>
          <w:lang w:val="uk-UA"/>
        </w:rPr>
        <w:t>21620300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,00 грн, в </w:t>
      </w:r>
      <w:proofErr w:type="spellStart"/>
      <w:r w:rsidRPr="006C2F4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6C2F42">
        <w:rPr>
          <w:rFonts w:ascii="Times New Roman" w:hAnsi="Times New Roman"/>
          <w:sz w:val="28"/>
          <w:szCs w:val="28"/>
          <w:lang w:val="uk-UA"/>
        </w:rPr>
        <w:t xml:space="preserve">. із загального фонду </w:t>
      </w:r>
      <w:r>
        <w:rPr>
          <w:rFonts w:ascii="Times New Roman" w:hAnsi="Times New Roman"/>
          <w:sz w:val="28"/>
          <w:szCs w:val="28"/>
        </w:rPr>
        <w:t>–</w:t>
      </w:r>
      <w:r w:rsidRPr="006C2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20181500,00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грн, із спеціального фонду – </w:t>
      </w:r>
      <w:r>
        <w:rPr>
          <w:rFonts w:ascii="Times New Roman" w:hAnsi="Times New Roman"/>
          <w:sz w:val="28"/>
          <w:szCs w:val="28"/>
          <w:lang w:val="uk-UA"/>
        </w:rPr>
        <w:t>1438800</w:t>
      </w:r>
      <w:r w:rsidRPr="006C2F42">
        <w:rPr>
          <w:rFonts w:ascii="Times New Roman" w:hAnsi="Times New Roman"/>
          <w:sz w:val="28"/>
          <w:szCs w:val="28"/>
          <w:lang w:val="uk-UA"/>
        </w:rPr>
        <w:t>,00 грн.</w:t>
      </w: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left="0" w:right="279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Видатки загального фонду в розрізі головних розпорядників</w:t>
      </w:r>
    </w:p>
    <w:p w:rsidR="00365DEA" w:rsidRPr="006C2F42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Виконавчий комітет Степанківської сільської ради</w:t>
      </w:r>
    </w:p>
    <w:p w:rsidR="00365DEA" w:rsidRPr="006C2F42" w:rsidRDefault="00365DEA" w:rsidP="00365DEA">
      <w:pPr>
        <w:spacing w:after="0" w:line="240" w:lineRule="auto"/>
        <w:ind w:right="279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/>
        </w:rPr>
        <w:t>69969673,50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365DE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10927288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8581696,72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78,53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>%;</w:t>
      </w:r>
    </w:p>
    <w:p w:rsidR="00365DE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Інша діяльність у сфері державного управління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4962,00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33,08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0211010 «Надання дошкільної освіти»  план звітного періоду –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9345633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6924525,46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74,09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0211021 «Надання загальної середньої освіти закладами загальної середньої освіти за рахунок коштів місцевого бюджету»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12544982,00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6998712,28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- 5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5,79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0211031 «Надання загальної середньої освіти закладами загальної середньої освіти за рахунок освітньої субвенції»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11974200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11598190,04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96,86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0211142 «Інші програми та заходи у сфері освіти»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54050,00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48574,98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89,87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0211160 «Забезпечення діяльності центрів професійного розвитку педагогічних працівників»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1576015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1192280,91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75,65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 по розпоряднику коштів Комунальній установі «</w:t>
      </w:r>
      <w:r w:rsidRPr="006C2F42">
        <w:rPr>
          <w:rFonts w:ascii="Times New Roman" w:hAnsi="Times New Roman"/>
          <w:sz w:val="28"/>
          <w:szCs w:val="28"/>
          <w:lang w:val="uk-UA"/>
        </w:rPr>
        <w:t>Центр професійного розвитку педагогічних працівників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що знаходиться в мережі головного розпорядника коштів Виконавчому комітеті Степанківської сільської ради,    видатки здійсненні за кошти бюджету Степанківської сільської територіальної громади в сумі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134033,82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грн, за рахунок іншої субвенції бюджетів територіальних громад в сумі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1058247,09 грн;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0211200 «Надання  освіти за рахунок субвенції з державного бюджету місцевим бюджетам на надання державної підтримки особам з особливими освітніми потребами»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20502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10251,00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0211210 «Надання 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64067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18404,33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28,73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0212111 «Первинна медична допомога населенню, що надається центрами первинної медичної (медико-санітарної) допомоги»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710989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475780,26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66,92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0212152 «Інші програми та заходи у сфері охорони здоров’я»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131308,62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69,11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0213032 «Надання пільг окремим категоріям громадян з оплати послуг зв’язку»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10659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6190,58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58,08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0213033 «Компенсаційні виплати на пільговий проїзд автомобільним транспортом окремим категоріям громадян»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176400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145880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82,70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0213035 «Компенсаційні виплати за пільговий проїзд окремих категорій громадян на залізничному транспорті»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800,00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151791,81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68,44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1A5B3B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0213050 «Пільгове медичне обслуговування осіб, які постраждали внаслідок Чорнобильської катастрофи»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57754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33017,51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57,17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інвалідністю, дітям з </w:t>
      </w:r>
      <w:proofErr w:type="spellStart"/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інваліднісю</w:t>
      </w:r>
      <w:proofErr w:type="spellEnd"/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хворим, які не здатні до самообслуговування і потребують сторонньої допомоги»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82854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50066,34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60,43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5146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 грн, фактично використано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4866,23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 становить 94,56%;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0213241 «Забезпечення діяльності інших закладів у сфері соціального захисту і соціального забезпечення» видатки спрямовані н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утримання Комунального закладу «Центр надання соціальних послуг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Степанківської сільської ради»,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1131706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1092881,60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96,57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0213242 «Інші заходи у сфері соціального захисту і соціального забезпечення»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1540000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1527800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99,21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0214030 «Забезпечення діяльності бібліотек»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611997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269177,56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43,98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0214060 «Забезпечення діяльності палаців і будинків культури, клубів, центрів дозвілля та інших клубних закладів»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3469967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2440186,19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70,32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0216030 «Організація благоустрою населених пунктів»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1986635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1436578,82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72,31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134AA0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0216060 «Утримання об’єктів соціальної сфери підприємств, що передаються до комунальної власності»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1004522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371360,41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36,97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70607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7130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Здійснення заходів із землеустрою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725704,00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127314,39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 становить 17,54%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365DEA" w:rsidRPr="0066430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7461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4501000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4258890,00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94,62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6430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7680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Членські внески до асоціацій органів місцевого самоврядування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26400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26400,00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D3DF5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0218130 «Забезпечення діяльності місцевої та добровільної пожежної охорони»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2383913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1861085,46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78,07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D3DF5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9730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10499000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10499000,00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0219770 «Інші субвенції з місцевого бюджету»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3412800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3386800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99,24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0219800 «Субвенція з місцевого бюджету державного бюджету на виконання програм соціально-економічного розвитку регіонів»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7755700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6295700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81,18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6C2F42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Фінансовий відділ Степанківської сільської ради</w:t>
      </w:r>
    </w:p>
    <w:p w:rsidR="00365DEA" w:rsidRPr="006C2F42" w:rsidRDefault="00365DEA" w:rsidP="00365D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Видатки за </w:t>
      </w:r>
      <w:r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2023 року по головному розпоряднику коштів Фінансовий відділ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/>
        </w:rPr>
        <w:t>9859661,78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3710160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581940,00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457361,78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78,59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3719110 «Реверсна дотація»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9402300,00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9402300,00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- 100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6C2F42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right="27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Бюджет розвитку</w:t>
      </w:r>
    </w:p>
    <w:p w:rsidR="00365DEA" w:rsidRDefault="00365DEA" w:rsidP="00365D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спеціального фонду бюджету Степанківської сільської територіальної громади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становлять </w:t>
      </w:r>
      <w:r>
        <w:rPr>
          <w:rFonts w:ascii="Times New Roman" w:hAnsi="Times New Roman"/>
          <w:sz w:val="28"/>
          <w:szCs w:val="28"/>
          <w:lang w:val="uk-UA"/>
        </w:rPr>
        <w:t>17507574,94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 xml:space="preserve">. Фінансування видатків бюджету розвитку здійснюється за рахунок коштів переданих із загального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фондубюджету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(додаток 4 до пояснювальної записки).</w:t>
      </w:r>
    </w:p>
    <w:p w:rsidR="00365DEA" w:rsidRPr="00C8627F" w:rsidRDefault="00365DEA" w:rsidP="00365DEA">
      <w:pPr>
        <w:pStyle w:val="a3"/>
        <w:numPr>
          <w:ilvl w:val="1"/>
          <w:numId w:val="34"/>
        </w:numPr>
        <w:tabs>
          <w:tab w:val="left" w:pos="567"/>
        </w:tabs>
        <w:spacing w:after="0" w:line="240" w:lineRule="auto"/>
        <w:ind w:left="21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C862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Виконавчий комітет Степанківської сільської ради</w:t>
      </w:r>
    </w:p>
    <w:p w:rsidR="00365DEA" w:rsidRPr="00C8627F" w:rsidRDefault="00365DEA" w:rsidP="00365DE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627F">
        <w:rPr>
          <w:rFonts w:ascii="Times New Roman" w:hAnsi="Times New Roman"/>
          <w:sz w:val="28"/>
          <w:szCs w:val="28"/>
          <w:lang w:val="uk-UA"/>
        </w:rPr>
        <w:t>Видатки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розвитку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 за 9 місяців 2023 року по головному розпоряднику коштів Виконавчий комітет Степанківської сільської ради  склали </w:t>
      </w:r>
      <w:r>
        <w:rPr>
          <w:rFonts w:ascii="Times New Roman" w:hAnsi="Times New Roman"/>
          <w:sz w:val="28"/>
          <w:szCs w:val="28"/>
          <w:lang w:val="uk-UA"/>
        </w:rPr>
        <w:t>17485339,94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 грн, з них:</w:t>
      </w:r>
    </w:p>
    <w:p w:rsidR="00365DEA" w:rsidRPr="0093095F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0211010 «Надання дошкільної освіти»  план звітного періоду –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7049500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918451,91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13,03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0211021 «Надання загальної середньої освіти закладами загальної середньої освіти за рахунок коштів місцевого бюджету»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24031670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12363387,37  грн, виконання -  51,45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0214060 «Забезпечення діяльності палаців і будинків культури, клубів, центрів дозвілля та інших клубних закладів»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10704371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1649561,04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15,41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60CE8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0216060 «Утримання об’єктів соціальної сфери підприємств, що передаються до комунальної власності»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991000,00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34803,43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3,51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60CE8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7321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Будівництво освітніх установ та закладів»  план звітного періоду – 5699063,00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752386,19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13,20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0218130 «Забезпечення діяльності місцевої та добровільної пожежної охорони»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94920,00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49,96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8627F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0219800 «Субвенція з місцевого бюджету державного бюджету на виконання програм соціально-економічного розвитку регіонів»</w:t>
      </w: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план звітного періоду – 3138800,00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1438800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45,84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394A9D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94A9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Фінансовий відділ Степанківської сільської ради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Видатки за 9 місяців 2023 року по головному розпоряднику коштів Фінансовий відділ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22235,00</w:t>
      </w:r>
      <w:r w:rsidRPr="0039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з них:</w:t>
      </w:r>
    </w:p>
    <w:p w:rsidR="00365DEA" w:rsidRPr="00394A9D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КПКВКМБ 3710160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26000,00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22235,00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85,52%.</w:t>
      </w:r>
    </w:p>
    <w:p w:rsidR="00365DEA" w:rsidRPr="00365DEA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Заборгованість</w:t>
      </w:r>
    </w:p>
    <w:p w:rsidR="00365DEA" w:rsidRPr="00FE4BCE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Дебіторська заборгованість станом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 відсутня.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Кредиторська заборгованість  загального фонду бюджету</w:t>
      </w:r>
      <w:r w:rsidRPr="006C2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станом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зареєстрована</w:t>
      </w:r>
      <w:r w:rsidRPr="00624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наступними програмами: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432,50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0211010 «Надання дошкільної освіти»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2210 «Предмети, матеріали, обладнання та інвентар» в сумі 64784,00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2864,19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0216030 «Організація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благоустрою населених пунктів»,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104817,00 грн.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Кредиторська заборгованість  спеціального фонду бюджету</w:t>
      </w:r>
      <w:r w:rsidRPr="00E03F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зареєстрована  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наступними програмами: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0211010 «Надання дошкільної освіти»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3132 «Капітальний ремонт інших об’єктів» в сумі 2500,00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3132 «Капітальний ремонт інших об’єктів» в сумі 11841,43 грн;</w:t>
      </w:r>
    </w:p>
    <w:p w:rsidR="00365DEA" w:rsidRDefault="00365DEA" w:rsidP="00365DEA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0214060 «Забезпечення діяльності палаців і будинків культури, клубів, центрів дозві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лля та інших клубних закладів», КЕКВ 3132 «Капітальний ремонт інших об’єктів» в сумі 5871,00 грн.</w:t>
      </w:r>
    </w:p>
    <w:p w:rsidR="00365DEA" w:rsidRPr="006C2F42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5DEA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236F82" w:rsidRPr="0035184D" w:rsidRDefault="0035184D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фінансового відділу                                      </w:t>
      </w:r>
      <w:r w:rsidR="00F04CAE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Тамара ОВЧАРЕНКО</w:t>
      </w:r>
    </w:p>
    <w:sectPr w:rsidR="00236F82" w:rsidRPr="0035184D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C7A73"/>
    <w:multiLevelType w:val="multilevel"/>
    <w:tmpl w:val="8C369E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2AC1C65"/>
    <w:multiLevelType w:val="hybridMultilevel"/>
    <w:tmpl w:val="29D67B70"/>
    <w:lvl w:ilvl="0" w:tplc="EB5839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6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31"/>
  </w:num>
  <w:num w:numId="13">
    <w:abstractNumId w:val="1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5"/>
  </w:num>
  <w:num w:numId="18">
    <w:abstractNumId w:val="16"/>
  </w:num>
  <w:num w:numId="19">
    <w:abstractNumId w:val="30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23"/>
  </w:num>
  <w:num w:numId="30">
    <w:abstractNumId w:val="32"/>
  </w:num>
  <w:num w:numId="31">
    <w:abstractNumId w:val="33"/>
  </w:num>
  <w:num w:numId="32">
    <w:abstractNumId w:val="18"/>
  </w:num>
  <w:num w:numId="33">
    <w:abstractNumId w:val="29"/>
  </w:num>
  <w:num w:numId="34">
    <w:abstractNumId w:val="5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36"/>
    <w:rsid w:val="00000925"/>
    <w:rsid w:val="00023ADC"/>
    <w:rsid w:val="0002797D"/>
    <w:rsid w:val="00040A6A"/>
    <w:rsid w:val="00044CB4"/>
    <w:rsid w:val="0004620F"/>
    <w:rsid w:val="00051D79"/>
    <w:rsid w:val="000539CF"/>
    <w:rsid w:val="00057195"/>
    <w:rsid w:val="00067A84"/>
    <w:rsid w:val="0007384F"/>
    <w:rsid w:val="000943D1"/>
    <w:rsid w:val="000B1932"/>
    <w:rsid w:val="000C49D9"/>
    <w:rsid w:val="000C5BDD"/>
    <w:rsid w:val="000D7A6D"/>
    <w:rsid w:val="000E4B86"/>
    <w:rsid w:val="0010557F"/>
    <w:rsid w:val="00122D22"/>
    <w:rsid w:val="00143BE5"/>
    <w:rsid w:val="00161E0D"/>
    <w:rsid w:val="001638BB"/>
    <w:rsid w:val="00192C03"/>
    <w:rsid w:val="001B6875"/>
    <w:rsid w:val="001B7EBD"/>
    <w:rsid w:val="001D5C08"/>
    <w:rsid w:val="001E32B2"/>
    <w:rsid w:val="00202492"/>
    <w:rsid w:val="00204131"/>
    <w:rsid w:val="00216343"/>
    <w:rsid w:val="0021648B"/>
    <w:rsid w:val="00223DCB"/>
    <w:rsid w:val="00226ABA"/>
    <w:rsid w:val="00236F82"/>
    <w:rsid w:val="002476D2"/>
    <w:rsid w:val="00254065"/>
    <w:rsid w:val="002672BB"/>
    <w:rsid w:val="002C0A9E"/>
    <w:rsid w:val="002E2A61"/>
    <w:rsid w:val="002F5132"/>
    <w:rsid w:val="003034E1"/>
    <w:rsid w:val="00314EC7"/>
    <w:rsid w:val="00330F08"/>
    <w:rsid w:val="00335629"/>
    <w:rsid w:val="0035184D"/>
    <w:rsid w:val="00364D13"/>
    <w:rsid w:val="00365DEA"/>
    <w:rsid w:val="00383FB7"/>
    <w:rsid w:val="003846E1"/>
    <w:rsid w:val="00384E28"/>
    <w:rsid w:val="003A0BE1"/>
    <w:rsid w:val="003B3AB8"/>
    <w:rsid w:val="003D154E"/>
    <w:rsid w:val="003E3B30"/>
    <w:rsid w:val="003E5F57"/>
    <w:rsid w:val="003E74F4"/>
    <w:rsid w:val="00443551"/>
    <w:rsid w:val="00450E2A"/>
    <w:rsid w:val="00453A96"/>
    <w:rsid w:val="00453C3F"/>
    <w:rsid w:val="00457B36"/>
    <w:rsid w:val="004605F9"/>
    <w:rsid w:val="00462F2A"/>
    <w:rsid w:val="00474210"/>
    <w:rsid w:val="00477AF5"/>
    <w:rsid w:val="00490941"/>
    <w:rsid w:val="004C1678"/>
    <w:rsid w:val="004C36D1"/>
    <w:rsid w:val="004D126B"/>
    <w:rsid w:val="004D44CB"/>
    <w:rsid w:val="00522DF8"/>
    <w:rsid w:val="00534A4E"/>
    <w:rsid w:val="005426D4"/>
    <w:rsid w:val="0054358D"/>
    <w:rsid w:val="00565A7A"/>
    <w:rsid w:val="00565CA6"/>
    <w:rsid w:val="005731C0"/>
    <w:rsid w:val="005C428E"/>
    <w:rsid w:val="005C4DC9"/>
    <w:rsid w:val="005D1FA2"/>
    <w:rsid w:val="005E2CBD"/>
    <w:rsid w:val="005F1898"/>
    <w:rsid w:val="005F1D09"/>
    <w:rsid w:val="00621EAC"/>
    <w:rsid w:val="00621ED1"/>
    <w:rsid w:val="0064355B"/>
    <w:rsid w:val="006561C8"/>
    <w:rsid w:val="006564C0"/>
    <w:rsid w:val="00661245"/>
    <w:rsid w:val="00664D68"/>
    <w:rsid w:val="00671B7E"/>
    <w:rsid w:val="00675869"/>
    <w:rsid w:val="0068235B"/>
    <w:rsid w:val="00685CDB"/>
    <w:rsid w:val="00687DF8"/>
    <w:rsid w:val="006D6DC2"/>
    <w:rsid w:val="006E1AB5"/>
    <w:rsid w:val="006E5164"/>
    <w:rsid w:val="00705842"/>
    <w:rsid w:val="00735956"/>
    <w:rsid w:val="00752E99"/>
    <w:rsid w:val="00770CD6"/>
    <w:rsid w:val="00791348"/>
    <w:rsid w:val="007C2EA3"/>
    <w:rsid w:val="00817249"/>
    <w:rsid w:val="00852CDD"/>
    <w:rsid w:val="0085743C"/>
    <w:rsid w:val="00860B73"/>
    <w:rsid w:val="00861BFE"/>
    <w:rsid w:val="008840F6"/>
    <w:rsid w:val="008C2B5D"/>
    <w:rsid w:val="008C3C2A"/>
    <w:rsid w:val="008C62E4"/>
    <w:rsid w:val="008C7B2A"/>
    <w:rsid w:val="008D265E"/>
    <w:rsid w:val="008D68AF"/>
    <w:rsid w:val="008E03B2"/>
    <w:rsid w:val="008E1BF6"/>
    <w:rsid w:val="008F5F77"/>
    <w:rsid w:val="008F62B5"/>
    <w:rsid w:val="009139D7"/>
    <w:rsid w:val="009236B8"/>
    <w:rsid w:val="0092439D"/>
    <w:rsid w:val="009247CC"/>
    <w:rsid w:val="009257EE"/>
    <w:rsid w:val="00957BE2"/>
    <w:rsid w:val="009902EC"/>
    <w:rsid w:val="00990BD4"/>
    <w:rsid w:val="009B2030"/>
    <w:rsid w:val="009B41FE"/>
    <w:rsid w:val="009C5E92"/>
    <w:rsid w:val="009E6502"/>
    <w:rsid w:val="00A01AFF"/>
    <w:rsid w:val="00A02D45"/>
    <w:rsid w:val="00A1188D"/>
    <w:rsid w:val="00A3004D"/>
    <w:rsid w:val="00A37596"/>
    <w:rsid w:val="00A378E4"/>
    <w:rsid w:val="00A91A61"/>
    <w:rsid w:val="00AA3FBB"/>
    <w:rsid w:val="00AB5E8A"/>
    <w:rsid w:val="00AB6B4D"/>
    <w:rsid w:val="00AC589E"/>
    <w:rsid w:val="00AD7EAE"/>
    <w:rsid w:val="00AE6614"/>
    <w:rsid w:val="00B24AE7"/>
    <w:rsid w:val="00B46728"/>
    <w:rsid w:val="00B52267"/>
    <w:rsid w:val="00B67B77"/>
    <w:rsid w:val="00B72500"/>
    <w:rsid w:val="00B72C22"/>
    <w:rsid w:val="00B90DD1"/>
    <w:rsid w:val="00BA1083"/>
    <w:rsid w:val="00BC09FE"/>
    <w:rsid w:val="00BC3BCE"/>
    <w:rsid w:val="00BD01AD"/>
    <w:rsid w:val="00BF5243"/>
    <w:rsid w:val="00BF6062"/>
    <w:rsid w:val="00C230FE"/>
    <w:rsid w:val="00C2545A"/>
    <w:rsid w:val="00C3404B"/>
    <w:rsid w:val="00C4028A"/>
    <w:rsid w:val="00C4466B"/>
    <w:rsid w:val="00C64888"/>
    <w:rsid w:val="00C958E9"/>
    <w:rsid w:val="00CD11AE"/>
    <w:rsid w:val="00CE08F2"/>
    <w:rsid w:val="00CE5F7D"/>
    <w:rsid w:val="00CE64F8"/>
    <w:rsid w:val="00CF283E"/>
    <w:rsid w:val="00D00847"/>
    <w:rsid w:val="00D30C10"/>
    <w:rsid w:val="00D453F8"/>
    <w:rsid w:val="00D57756"/>
    <w:rsid w:val="00D61A2B"/>
    <w:rsid w:val="00D70615"/>
    <w:rsid w:val="00D87E0A"/>
    <w:rsid w:val="00D937CC"/>
    <w:rsid w:val="00DA71CC"/>
    <w:rsid w:val="00DB2F7B"/>
    <w:rsid w:val="00DC1E95"/>
    <w:rsid w:val="00DC35DC"/>
    <w:rsid w:val="00DC795B"/>
    <w:rsid w:val="00DD06E6"/>
    <w:rsid w:val="00DE78CA"/>
    <w:rsid w:val="00E01EF4"/>
    <w:rsid w:val="00E17D5A"/>
    <w:rsid w:val="00E70766"/>
    <w:rsid w:val="00E712DC"/>
    <w:rsid w:val="00E740F0"/>
    <w:rsid w:val="00E74113"/>
    <w:rsid w:val="00E744FA"/>
    <w:rsid w:val="00E90816"/>
    <w:rsid w:val="00E95EF5"/>
    <w:rsid w:val="00EB3413"/>
    <w:rsid w:val="00EB6D96"/>
    <w:rsid w:val="00ED21D3"/>
    <w:rsid w:val="00EE0858"/>
    <w:rsid w:val="00EF6351"/>
    <w:rsid w:val="00F04361"/>
    <w:rsid w:val="00F04CAE"/>
    <w:rsid w:val="00F67B6C"/>
    <w:rsid w:val="00F71573"/>
    <w:rsid w:val="00F71E04"/>
    <w:rsid w:val="00F72017"/>
    <w:rsid w:val="00FB0245"/>
    <w:rsid w:val="00FC2C6D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2692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і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і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0.1030123527157953"/>
                  <c:y val="0.183136615268804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1000" baseline="0"/>
                      <a:t>Власні надходження, 87046964 грн, 86,01%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36557651574033"/>
                      <c:h val="0.83461319133669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4.3365024815789049E-2"/>
                  <c:y val="-0.214762045617849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1000" baseline="0"/>
                      <a:t>Міжбюджетні трансферти, 14155021 грн, 13,99%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66813318370411"/>
                      <c:h val="0.57642100492834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44316515</c:v>
                </c:pt>
                <c:pt idx="1">
                  <c:v>4430215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16064891173998"/>
          <c:y val="5.5238495188101484E-2"/>
          <c:w val="0.77683935108825997"/>
          <c:h val="0.8361994750656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1437695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1350643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531365086213539E-2"/>
                  <c:y val="-1.699947506561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215114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6365653089965923E-2"/>
                  <c:y val="-0.24293596167611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530008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062622309197647E-2"/>
                  <c:y val="-0.16000000000000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160-9D35-EE6933810A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356428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5-4160-9D35-EE6933810A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203760818419333E-3"/>
          <c:y val="5.3333333333333337E-2"/>
          <c:w val="0.23424581418166857"/>
          <c:h val="0.69925179352580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845867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737859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3737641603091E-2"/>
                  <c:y val="-6.837639270994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776206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3.899065725592591E-2"/>
                  <c:y val="-0.1850495595681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805195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449050086355788E-2"/>
                  <c:y val="-8.0321285140562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A9-4EF3-AE88-F73751F59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1068086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8EA9-4EF3-AE88-F73751F59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0877565174820164E-4"/>
          <c:y val="6.956961705088065E-4"/>
          <c:w val="0.18566493955094993"/>
          <c:h val="0.63067668750241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479382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537902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505128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5456258552500439E-2"/>
                  <c:y val="-7.36198997852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526907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4533442659890089"/>
                  <c:y val="2.857142857142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01-48BF-B650-67F0A19C3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586493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101-48BF-B650-67F0A19C33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4761738357985221E-2"/>
          <c:y val="3.6363636363636362E-2"/>
          <c:w val="0.18342374353765709"/>
          <c:h val="0.6696893342877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7.1245972302242708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2.199146911628579E-2"/>
                  <c:y val="-0.1102533294449304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396640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1.5160042268025651E-2"/>
                  <c:y val="-0.137168853893263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52101893493312"/>
                      <c:h val="0.127175658598230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926116981712792"/>
                  <c:y val="-2.7100612423447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94856905848192"/>
                      <c:h val="0.15542040984714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40-4502-BF2A-E3D2C02C2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281525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340-4502-BF2A-E3D2C02C2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3.6133694670280034E-2"/>
          <c:w val="0.17770259016254239"/>
          <c:h val="0.60598837746907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85147025333489"/>
          <c:y val="0.13941147600452383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3.6114273094704163E-2"/>
                  <c:y val="-0.1102532915092930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1087465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5.3317268111129336E-2"/>
                  <c:y val="-0.1268705232984088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1187971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992988244999051E-2"/>
                  <c:y val="-0.1084010840108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2C-4172-A04D-D70E82761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1146915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12C-4172-A04D-D70E82761A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9417592392619309E-2"/>
          <c:y val="5.4200542005420058E-2"/>
          <c:w val="0.21795873164854188"/>
          <c:h val="0.5570670536101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390562004491706"/>
          <c:y val="6.1698390063446795E-2"/>
          <c:w val="0.76570140072697102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2.485067629189092E-2"/>
                  <c:y val="-0.11025329150929304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186592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2.9310156581161376E-2"/>
                  <c:y val="-0.1449373706335488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165996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4-AC9E-45E8-90D1-EE4B838CFEB8}"/>
              </c:ext>
            </c:extLst>
          </c:dPt>
          <c:dLbls>
            <c:dLbl>
              <c:idx val="0"/>
              <c:layout>
                <c:manualLayout>
                  <c:x val="3.6704730831973821E-2"/>
                  <c:y val="-7.2267389340560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9E-45E8-90D1-EE4B838CFE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27686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C9E-45E8-90D1-EE4B838CF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1297564390553914E-2"/>
          <c:y val="3.906421146175626E-2"/>
          <c:w val="0.18866791135644126"/>
          <c:h val="0.648469245692114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18423258408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2938630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-2.279462046956918E-2"/>
                  <c:y val="-0.16238366048536415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3605813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3558383843460185E-3"/>
                  <c:y val="-0.23563230293214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5454247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4244699353314742E-2"/>
                  <c:y val="-0.14823445596391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6466127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178481878276721E-2"/>
                  <c:y val="-0.1157285639137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A-4CC3-A5E1-E806E3831A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8919919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47A-4CC3-A5E1-E806E383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1577952755905513E-2"/>
          <c:w val="0.20595172925016467"/>
          <c:h val="0.9884221731620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1123429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394266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719044269009E-2"/>
                  <c:y val="-5.91932712956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497674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658289753608568E-2"/>
                  <c:y val="-4.412598425196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379467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114101184068897E-2"/>
                  <c:y val="-3.636363636363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AB-40BC-BE62-BA98CB3E1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438756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EAB-40BC-BE62-BA98CB3E1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18514531754574812"/>
          <c:h val="0.8697029348604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725320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2.3455093923839647E-2"/>
                  <c:y val="-0.1331272241276589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195862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255784579828542E-3"/>
                  <c:y val="-0.17314139413554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240578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65201150197E-2"/>
                  <c:y val="-0.12108078514725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389420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9692832764506E-2"/>
                  <c:y val="-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1-4D89-9F4A-C62332B2DB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369637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371-4D89-9F4A-C62332B2D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29967115175496"/>
          <c:h val="0.60258345007487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1.3915864842872355E-2"/>
                  <c:y val="-6.827818865025676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676818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2.283447363486385E-2"/>
                  <c:y val="-0.1351649267495497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709770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2021800202656554E-2"/>
                  <c:y val="-0.13822321910635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932615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38289874569691E-2"/>
                  <c:y val="-0.109053487504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860094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393489185055712E-2"/>
                  <c:y val="-0.10124252185918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F-4FC5-89F0-AFFF3246E4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1013643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F7F-4FC5-89F0-AFFF3246E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98149253628633"/>
          <c:h val="0.8805091839359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14831466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18734002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284E-2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27150935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3377750858065819E-2"/>
                  <c:y val="-5.3475935828877004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69241237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526022875902973E-2"/>
                  <c:y val="-5.3475935828877004E-2"/>
                </c:manualLayout>
              </c:layout>
              <c:spPr>
                <a:solidFill>
                  <a:srgbClr val="A5A5A5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2842809364544"/>
                      <c:h val="8.13547237076648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9A-497D-BB45-98A3109C5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87046964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C9A-497D-BB45-98A3109C5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38895636373212539"/>
          <c:h val="0.53237666147346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29672471722797"/>
          <c:y val="0.18039524471205803"/>
          <c:w val="0.7428734600357364"/>
          <c:h val="0.6984065968131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-1.3393642171900108E-3"/>
                  <c:y val="-0.11025298112680483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1885072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1.1850100623278169E-2"/>
                  <c:y val="-0.1357396511688810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1622266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678246484698022E-2"/>
                  <c:y val="-0.13303769401330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3-445C-8367-9F64233F30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2147865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ED3-445C-8367-9F64233F3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445080531186709E-2"/>
          <c:y val="0"/>
          <c:w val="0.18132379854503303"/>
          <c:h val="0.45824676571747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82710187018192"/>
          <c:y val="0.13811934665191644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8.5374625887913724E-3"/>
                  <c:y val="-0.153358370854049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31405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3.3388460006936252E-2"/>
                  <c:y val="-9.977025229569881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74188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469820554649191E-2"/>
                  <c:y val="-0.1084010840108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7-43E9-84E8-7EEA71D23C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88651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2227-43E9-84E8-7EEA71D23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21976596318605E-3"/>
          <c:y val="0"/>
          <c:w val="0.19920103788005292"/>
          <c:h val="0.56610047727773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1.7493970147550889E-2"/>
                  <c:y val="-7.174468085106390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1597229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3.0940585675601918E-2"/>
                  <c:y val="-0.1514933824761267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1884843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069284921001357E-2"/>
                  <c:y val="-0.1106114927123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2944605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1255064986924092E-2"/>
                  <c:y val="-0.138243591891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3163119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031242925062257E-2"/>
                  <c:y val="-0.14468085106382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4-4B7B-BB1E-295BD0C0AB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3396996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B44-4B7B-BB1E-295BD0C0A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0.18169035083632298"/>
          <c:h val="0.75687549925824493"/>
        </c:manualLayout>
      </c:layout>
      <c:overlay val="0"/>
      <c:txPr>
        <a:bodyPr/>
        <a:lstStyle/>
        <a:p>
          <a:pPr>
            <a:defRPr sz="800"/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14011565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14318010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9.269162210338687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16488075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715719063545143"/>
                  <c:y val="-0.163992869875222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16356307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A5A5A5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2486082216311574"/>
                  <c:y val="-0.15686274509803924"/>
                </c:manualLayout>
              </c:layout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4760312151616"/>
                      <c:h val="9.4153578396283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A4A-4219-B66E-A702BB127ADC}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14155021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EA4A-4219-B66E-A702BB127A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50935770152476756"/>
          <c:h val="0.24717167038612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3693920282436E-2"/>
          <c:y val="0.24167716535433076"/>
          <c:w val="0.52397585133319013"/>
          <c:h val="0.5095075459317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2.3636966177328137E-2"/>
                  <c:y val="0.116055648092065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/>
                    </a:pPr>
                    <a:fld id="{313612D9-A080-41D5-8D3A-AE03AA51591B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85%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9750863616274769"/>
                      <c:h val="0.216646073087017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.15563258200972299"/>
                  <c:y val="0.1641348677569149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/>
                    </a:pPr>
                    <a:fld id="{8662A017-211F-4247-A11C-07AA1AC796CB}" type="CATEGORYNAME">
                      <a:rPr lang="uk-UA"/>
                      <a:pPr>
                        <a:defRPr sz="700"/>
                      </a:pPr>
                      <a:t>[ІМ’Я КАТЕГОРІЇ]</a:t>
                    </a:fld>
                    <a:r>
                      <a:rPr lang="uk-UA" baseline="0"/>
                      <a:t>
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5718411487223891"/>
                      <c:h val="0.24398425196850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2.8357253733182593E-2"/>
                  <c:y val="0.138053742681203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/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4047208016523705"/>
                      <c:h val="0.283383403997577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0.42108079186730873"/>
                  <c:y val="0.1275661720169595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600"/>
                    </a:pPr>
                    <a:fld id="{3D0029DA-7904-45A6-A7AD-C91C348E456C}" type="CATEGORYNAME">
                      <a:rPr lang="uk-UA"/>
                      <a:pPr>
                        <a:defRPr sz="600"/>
                      </a:pPr>
                      <a:t>[ІМ’Я КАТЕГОРІЇ]</a:t>
                    </a:fld>
                    <a:r>
                      <a:rPr lang="uk-UA" baseline="0"/>
                      <a:t>
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5736378313535551"/>
                      <c:h val="0.279017968907732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0.5280898876404494"/>
                  <c:y val="-5.710958005249343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A58F5A5A-2B3E-433F-8CCD-7E18262FB880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7%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0.47084007540294576"/>
                  <c:y val="-0.4045439127801332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/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6892514724319252"/>
                      <c:h val="0.197355945891378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0.2629255612711332"/>
                  <c:y val="-0.4350610236220472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5D8C3581-A3CE-4DC0-BA97-4AE038F4C0CC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4%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3.3707865168539325E-2"/>
                  <c:y val="-0.41090912073490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39992957</c:v>
                </c:pt>
                <c:pt idx="1">
                  <c:v>37507</c:v>
                </c:pt>
                <c:pt idx="2">
                  <c:v>222278</c:v>
                </c:pt>
                <c:pt idx="3">
                  <c:v>379850</c:v>
                </c:pt>
                <c:pt idx="4">
                  <c:v>2044336</c:v>
                </c:pt>
                <c:pt idx="5">
                  <c:v>52680</c:v>
                </c:pt>
                <c:pt idx="6">
                  <c:v>1152918</c:v>
                </c:pt>
                <c:pt idx="7">
                  <c:v>340278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1487738190029615"/>
          <c:y val="2.0808727034120733E-2"/>
          <c:w val="0.27228152660692689"/>
          <c:h val="0.95838254593175853"/>
        </c:manualLayout>
      </c:layout>
      <c:overlay val="0"/>
      <c:txPr>
        <a:bodyPr/>
        <a:lstStyle/>
        <a:p>
          <a:pPr>
            <a:defRPr sz="600"/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-1.3510056525953157E-2"/>
                  <c:y val="-6.4434691199314456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86702605570529"/>
                      <c:h val="0.1189204028067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14931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9.7838713557032442E-3"/>
                  <c:y val="-0.120446328137554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85753903405"/>
                      <c:h val="0.11201189137072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22474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209910081994468E-3"/>
                  <c:y val="-0.234371150034817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7924528301887"/>
                      <c:h val="0.14443060688842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15229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373078365204349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142695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9473296968636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154371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5633423180593E-2"/>
                  <c:y val="-5.102040816326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04-40CB-80AF-F467AFE03C26}"/>
                </c:ext>
              </c:extLst>
            </c:dLbl>
            <c:spPr>
              <a:solidFill>
                <a:srgbClr val="A5A5A5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144109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C04-40CB-80AF-F467AFE03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38894326888384229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268025320364346E-2"/>
          <c:y val="0.13811847899177893"/>
          <c:w val="0.91173197467963563"/>
          <c:h val="0.7823969111299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621301966885E-2"/>
                  <c:y val="-0.19211632545931759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24625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2981432876384E-2"/>
                  <c:y val="-0.211697637795275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8255662486633555E-2"/>
                  <c:y val="-0.21899128608923896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1138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284825507922619E-2"/>
                  <c:y val="-0.15813123359580061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5.09805903891642E-2"/>
                  <c:y val="-0.19248503937007874"/>
                </c:manualLayout>
              </c:layout>
              <c:spPr>
                <a:solidFill>
                  <a:srgbClr val="A5A5A5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2549019607844"/>
                      <c:h val="0.14551007570334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F4-4632-A01B-48930BA03EDE}"/>
                </c:ext>
              </c:extLst>
            </c:dLbl>
            <c:spPr>
              <a:solidFill>
                <a:srgbClr val="A5A5A5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8F4-4632-A01B-48930BA03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2.1333333333333333E-2"/>
          <c:w val="0.21380305239622821"/>
          <c:h val="0.92599265091863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2.8474694087896546E-2"/>
                  <c:y val="6.2508458119035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Екологічний податок, 144109 грн.,33,4%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8662615803164"/>
                      <c:h val="0.307888883831717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2.1208307865626386E-3"/>
                  <c:y val="-9.88630467434346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Інші джерела власних надходжень бюджетних установ, 280031 грн., 64,9%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2846390778"/>
                      <c:h val="0.43228012683385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38086458370785847"/>
                  <c:y val="6.24368485731191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Цільові фонди, 7039грн., 1,7%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9980464770670793"/>
                      <c:h val="0.12476628282736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49522</c:v>
                </c:pt>
                <c:pt idx="1">
                  <c:v>0</c:v>
                </c:pt>
                <c:pt idx="2">
                  <c:v>39187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494884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853195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640623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223734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85953878406712E-2"/>
                  <c:y val="-9.654062751407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56-437D-A8ED-D572E9569B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415009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A956-437D-A8ED-D572E9569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5.6315086362707663E-2"/>
          <c:w val="0.19762071909685988"/>
          <c:h val="0.4719696441806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971927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945335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1247055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1352062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942685303214625E-2"/>
                  <c:y val="-0.16181229773462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9-45B9-9334-6BCD7CEFBF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1237933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FF9-45B9-9334-6BCD7CEFB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0881876773033819E-3"/>
          <c:y val="0"/>
          <c:w val="0.17415328755178025"/>
          <c:h val="0.7173610580230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23752</Words>
  <Characters>13540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Адмін</cp:lastModifiedBy>
  <cp:revision>2</cp:revision>
  <cp:lastPrinted>2023-10-03T13:07:00Z</cp:lastPrinted>
  <dcterms:created xsi:type="dcterms:W3CDTF">2023-10-11T13:53:00Z</dcterms:created>
  <dcterms:modified xsi:type="dcterms:W3CDTF">2023-10-11T13:53:00Z</dcterms:modified>
</cp:coreProperties>
</file>