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E5" w:rsidRDefault="00CB76E5" w:rsidP="00CB76E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Додаток 1</w:t>
      </w:r>
    </w:p>
    <w:p w:rsidR="00CB76E5" w:rsidRDefault="00CB76E5" w:rsidP="00CB76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 рішення сесії Степанківської сільської ради</w:t>
      </w:r>
    </w:p>
    <w:p w:rsidR="00CB76E5" w:rsidRDefault="00CB76E5" w:rsidP="00CB76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від 11.01.2024 №</w:t>
      </w:r>
      <w:r w:rsidRPr="00CB76E5"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uk-UA"/>
        </w:rPr>
        <w:t>0</w:t>
      </w:r>
      <w:r w:rsidRPr="00CB76E5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val="uk-UA"/>
        </w:rPr>
        <w:t>/VIII</w:t>
      </w:r>
    </w:p>
    <w:p w:rsidR="00CB76E5" w:rsidRDefault="00CB76E5" w:rsidP="00CB76E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CB76E5" w:rsidRDefault="00CB76E5" w:rsidP="00CB76E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CB76E5" w:rsidRDefault="00CB76E5" w:rsidP="00CB76E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CB76E5" w:rsidRDefault="00CB76E5" w:rsidP="00CB76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ПОЛОЖЕННЯ</w:t>
      </w:r>
    </w:p>
    <w:p w:rsidR="00CB76E5" w:rsidRDefault="00CB76E5" w:rsidP="00CB76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 порядок 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проведення конкурсу на визначення опорного закладу загальної середньої освіти Степанківської сільської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ради </w:t>
      </w:r>
    </w:p>
    <w:p w:rsidR="00CB76E5" w:rsidRDefault="00CB76E5" w:rsidP="00CB7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І.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Загальні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положення</w:t>
      </w:r>
      <w:proofErr w:type="spellEnd"/>
    </w:p>
    <w:p w:rsidR="00CB76E5" w:rsidRDefault="00CB76E5" w:rsidP="00CB76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Це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Положення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визначає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bidi="en-US"/>
        </w:rPr>
        <w:t xml:space="preserve"> умови та порядок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проведення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конкурсу </w:t>
      </w:r>
      <w:r>
        <w:rPr>
          <w:rFonts w:ascii="Times New Roman" w:eastAsia="Times New Roman" w:hAnsi="Times New Roman"/>
          <w:sz w:val="28"/>
          <w:szCs w:val="28"/>
          <w:lang w:val="uk-UA" w:bidi="en-US"/>
        </w:rPr>
        <w:t>з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визначення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опорного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закладу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загальної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середньої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освіти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val="uk-UA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bidi="en-US"/>
        </w:rPr>
        <w:t>Степанківській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bidi="en-US"/>
        </w:rPr>
        <w:t xml:space="preserve"> сільській територіальній громаді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далі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val="uk-UA" w:bidi="en-US"/>
        </w:rPr>
        <w:t>к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онкурс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>).</w:t>
      </w:r>
    </w:p>
    <w:p w:rsidR="00CB76E5" w:rsidRDefault="00CB76E5" w:rsidP="00CB7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розроблено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bCs/>
          <w:sz w:val="28"/>
          <w:szCs w:val="28"/>
        </w:rPr>
        <w:t>Конституції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законів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bCs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Cs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», «Про </w:t>
      </w:r>
      <w:proofErr w:type="spellStart"/>
      <w:r>
        <w:rPr>
          <w:rFonts w:ascii="Times New Roman" w:hAnsi="Times New Roman"/>
          <w:bCs/>
          <w:sz w:val="28"/>
          <w:szCs w:val="28"/>
        </w:rPr>
        <w:t>освіту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», «Про </w:t>
      </w:r>
      <w:proofErr w:type="spellStart"/>
      <w:r>
        <w:rPr>
          <w:rFonts w:ascii="Times New Roman" w:hAnsi="Times New Roman"/>
          <w:bCs/>
          <w:sz w:val="28"/>
          <w:szCs w:val="28"/>
        </w:rPr>
        <w:t>повну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загальну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середню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освіту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опорний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Кабінету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Міні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19 </w:t>
      </w:r>
      <w:proofErr w:type="spellStart"/>
      <w:r>
        <w:rPr>
          <w:rFonts w:ascii="Times New Roman" w:hAnsi="Times New Roman"/>
          <w:sz w:val="28"/>
          <w:szCs w:val="28"/>
        </w:rPr>
        <w:t>червня</w:t>
      </w:r>
      <w:proofErr w:type="spellEnd"/>
      <w:r>
        <w:rPr>
          <w:rFonts w:ascii="Times New Roman" w:hAnsi="Times New Roman"/>
          <w:sz w:val="28"/>
          <w:szCs w:val="28"/>
        </w:rPr>
        <w:t xml:space="preserve"> 2019 року № 532. </w:t>
      </w:r>
    </w:p>
    <w:p w:rsidR="00CB76E5" w:rsidRDefault="00CB76E5" w:rsidP="00CB76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/>
          <w:sz w:val="28"/>
          <w:szCs w:val="28"/>
          <w:lang w:val="uk-UA" w:bidi="en-US"/>
        </w:rPr>
        <w:t xml:space="preserve">Опорний заклад освіти – це заклад загальної середньої освіти, що має зручне розташування для підвезення дітей з інших населених пунктів, забезпечений кваліфікованими педагогічними кадрами, має сучасну матеріально-технічну і навчально-методичну базу. </w:t>
      </w:r>
    </w:p>
    <w:p w:rsidR="00CB76E5" w:rsidRDefault="00CB76E5" w:rsidP="00CB76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/>
          <w:sz w:val="28"/>
          <w:szCs w:val="28"/>
          <w:lang w:val="uk-UA" w:bidi="en-US"/>
        </w:rPr>
        <w:t>Опорний заклад створюється з метою:</w:t>
      </w:r>
    </w:p>
    <w:p w:rsidR="00CB76E5" w:rsidRDefault="00CB76E5" w:rsidP="00CB76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/>
          <w:sz w:val="28"/>
          <w:szCs w:val="28"/>
          <w:lang w:val="uk-UA" w:bidi="en-US"/>
        </w:rPr>
        <w:t>- створення єдиного освітнього простору та безпечного освітнього середовища;</w:t>
      </w:r>
    </w:p>
    <w:p w:rsidR="00CB76E5" w:rsidRDefault="00CB76E5" w:rsidP="00CB76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val="uk-UA" w:bidi="en-US"/>
        </w:rPr>
        <w:t xml:space="preserve">- </w:t>
      </w:r>
      <w:bookmarkStart w:id="0" w:name="n28"/>
      <w:bookmarkEnd w:id="0"/>
      <w:r>
        <w:rPr>
          <w:rFonts w:ascii="Times New Roman" w:eastAsia="Times New Roman" w:hAnsi="Times New Roman"/>
          <w:sz w:val="20"/>
          <w:lang w:val="uk-UA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забезпечення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рівного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доступу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осіб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, у тому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числі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особливими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освітніми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потребами, до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здобуття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якісної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освіти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>;</w:t>
      </w:r>
    </w:p>
    <w:p w:rsidR="00CB76E5" w:rsidRDefault="00CB76E5" w:rsidP="00CB76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bidi="en-US"/>
        </w:rPr>
      </w:pPr>
      <w:bookmarkStart w:id="1" w:name="n29"/>
      <w:bookmarkEnd w:id="1"/>
      <w:r>
        <w:rPr>
          <w:rFonts w:ascii="Times New Roman" w:eastAsia="Times New Roman" w:hAnsi="Times New Roman"/>
          <w:sz w:val="28"/>
          <w:szCs w:val="28"/>
          <w:lang w:val="uk-UA" w:bidi="en-US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створення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умов для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здобуття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особами</w:t>
      </w:r>
      <w:r>
        <w:rPr>
          <w:rFonts w:ascii="Times New Roman" w:eastAsia="Times New Roman" w:hAnsi="Times New Roman"/>
          <w:b/>
          <w:sz w:val="28"/>
          <w:szCs w:val="28"/>
          <w:lang w:val="uk-UA"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bidi="en-US"/>
        </w:rPr>
        <w:t xml:space="preserve">повної загальної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середньої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освіти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зокрема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шляхом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проведення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профорієнтаційної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роботи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серед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здобувачів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освіти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забезпечення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реалізації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їх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індивідуальної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освітньої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траєкторії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bidi="en-US"/>
        </w:rPr>
        <w:t>у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провадження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курсів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вибором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факультативів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гуртків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>;</w:t>
      </w:r>
      <w:bookmarkStart w:id="2" w:name="n30"/>
      <w:bookmarkStart w:id="3" w:name="n31"/>
      <w:bookmarkEnd w:id="2"/>
      <w:bookmarkEnd w:id="3"/>
    </w:p>
    <w:p w:rsidR="00CB76E5" w:rsidRDefault="00CB76E5" w:rsidP="00CB76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/>
          <w:sz w:val="28"/>
          <w:szCs w:val="28"/>
          <w:lang w:val="uk-UA" w:bidi="en-US"/>
        </w:rPr>
        <w:t xml:space="preserve">- раціонального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та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ефективн</w:t>
      </w:r>
      <w:r>
        <w:rPr>
          <w:rFonts w:ascii="Times New Roman" w:eastAsia="Times New Roman" w:hAnsi="Times New Roman"/>
          <w:sz w:val="28"/>
          <w:szCs w:val="28"/>
          <w:lang w:val="uk-UA" w:bidi="en-US"/>
        </w:rPr>
        <w:t>ого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використання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наявних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bidi="en-US"/>
        </w:rPr>
        <w:t xml:space="preserve"> у закладі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ресурсів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їх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bidi="en-US"/>
        </w:rPr>
        <w:t xml:space="preserve"> модернізації.</w:t>
      </w:r>
    </w:p>
    <w:p w:rsidR="00CB76E5" w:rsidRDefault="00CB76E5" w:rsidP="00CB76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/>
          <w:sz w:val="28"/>
          <w:szCs w:val="28"/>
          <w:lang w:val="uk-UA" w:bidi="en-US"/>
        </w:rPr>
        <w:t xml:space="preserve">2. Метою проведення конкурсу є оптимізація освітньої мережі  громади та визначення опорного закладу, діяльність якого спрямована на створення умов для здобуття громадянами якісної освіти,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bidi="en-US"/>
        </w:rPr>
        <w:t>допрофільне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bidi="en-US"/>
        </w:rPr>
        <w:t xml:space="preserve"> вивчення окремих предметів, створення мотивуючого простору та забезпечення всебічного розвитку особистості здобувачів освіти.</w:t>
      </w:r>
    </w:p>
    <w:p w:rsidR="00CB76E5" w:rsidRDefault="00CB76E5" w:rsidP="00CB76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bidi="en-US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>Основним завданням конкурсу є виявлення ефективної моделі діяльності опорного закладу освіти, що забезпечує умови для рівного доступу до якісної освіти, підвищення її якості, підтримку творчо працюючих педагогічних колективів, зміцнення матеріально-технічної бази опорних закладів.</w:t>
      </w:r>
    </w:p>
    <w:p w:rsidR="00CB76E5" w:rsidRDefault="00CB76E5" w:rsidP="00CB76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/>
          <w:sz w:val="28"/>
          <w:szCs w:val="28"/>
          <w:lang w:val="uk-UA" w:bidi="en-US"/>
        </w:rPr>
        <w:lastRenderedPageBreak/>
        <w:t xml:space="preserve">4. Організатором конкурсу є виконавчий комітет Степанківської сільської ради. </w:t>
      </w:r>
    </w:p>
    <w:p w:rsidR="00CB76E5" w:rsidRDefault="00CB76E5" w:rsidP="00CB76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/>
          <w:sz w:val="28"/>
          <w:szCs w:val="28"/>
          <w:lang w:val="uk-UA" w:bidi="en-US"/>
        </w:rPr>
        <w:t>5. Учасниками конкурсу можуть бути заклади загальної середньої освіти Степанківської сільської ради.</w:t>
      </w:r>
    </w:p>
    <w:p w:rsidR="00CB76E5" w:rsidRDefault="00CB76E5" w:rsidP="00CB76E5">
      <w:pPr>
        <w:tabs>
          <w:tab w:val="left" w:pos="16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/>
          <w:sz w:val="28"/>
          <w:szCs w:val="28"/>
          <w:lang w:val="uk-UA" w:bidi="en-US"/>
        </w:rPr>
        <w:t>6. Проведення конкурсу забезпечує конкурсна комісія, кількісний та поіменний склад якої затверджується рішенням сільської ради.</w:t>
      </w:r>
    </w:p>
    <w:p w:rsidR="00CB76E5" w:rsidRDefault="00CB76E5" w:rsidP="00CB76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bidi="en-US"/>
        </w:rPr>
      </w:pPr>
    </w:p>
    <w:p w:rsidR="00CB76E5" w:rsidRDefault="00CB76E5" w:rsidP="00CB76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ІІ. Права 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обов’язки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конкурсної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bidi="en-US"/>
        </w:rPr>
        <w:t>к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омі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с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bidi="en-US"/>
        </w:rPr>
        <w:t>ії</w:t>
      </w:r>
      <w:proofErr w:type="spellEnd"/>
    </w:p>
    <w:p w:rsidR="00CB76E5" w:rsidRDefault="00CB76E5" w:rsidP="00CB76E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CB76E5" w:rsidRDefault="00CB76E5" w:rsidP="00CB76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/>
          <w:sz w:val="28"/>
          <w:szCs w:val="28"/>
          <w:lang w:val="uk-UA" w:bidi="en-US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Конкурсна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bidi="en-US"/>
        </w:rPr>
        <w:t>к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омісія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своїй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роботі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діє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>ідставі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законодавства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відповідно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до умов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проведення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bidi="en-US"/>
        </w:rPr>
        <w:t>к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онкурсу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. </w:t>
      </w:r>
    </w:p>
    <w:p w:rsidR="00CB76E5" w:rsidRDefault="00CB76E5" w:rsidP="00CB76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/>
          <w:sz w:val="28"/>
          <w:szCs w:val="28"/>
          <w:lang w:val="uk-UA" w:bidi="en-US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Формою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роботи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bidi="en-US"/>
        </w:rPr>
        <w:t>к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омісії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є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засідання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. Роботу </w:t>
      </w:r>
      <w:r>
        <w:rPr>
          <w:rFonts w:ascii="Times New Roman" w:eastAsia="Times New Roman" w:hAnsi="Times New Roman"/>
          <w:sz w:val="28"/>
          <w:szCs w:val="28"/>
          <w:lang w:val="uk-UA" w:bidi="en-US"/>
        </w:rPr>
        <w:t>к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омісії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організовує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її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голова.</w:t>
      </w:r>
    </w:p>
    <w:p w:rsidR="00CB76E5" w:rsidRDefault="00CB76E5" w:rsidP="00CB76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/>
          <w:sz w:val="28"/>
          <w:szCs w:val="28"/>
          <w:lang w:val="uk-UA" w:bidi="en-US"/>
        </w:rPr>
        <w:t>3. Конкурсна комісія та її члени діють на засадах неупередженості, об’єктивності, незалежності, відкритості, прозорості. Не допускається будь-яке втручання в діяльність конкурсної комісії, тиск на членів комісії та учасників конкурсу. Кожен член комісії зобов’язаний не допускати виникнення конфлікту інтересів під час проведення конкурсу.</w:t>
      </w:r>
    </w:p>
    <w:p w:rsidR="00CB76E5" w:rsidRDefault="00CB76E5" w:rsidP="00CB76E5">
      <w:pPr>
        <w:tabs>
          <w:tab w:val="left" w:pos="7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/>
          <w:sz w:val="28"/>
          <w:szCs w:val="28"/>
          <w:lang w:val="uk-UA" w:bidi="en-US"/>
        </w:rPr>
        <w:t>4. Члени комісії мають право отримувати інформацію з питань діяльності комісії, вносити пропозиції до порядку денного комісії, брати участь в обговоренні та  прийнятті рішень.</w:t>
      </w:r>
    </w:p>
    <w:p w:rsidR="00CB76E5" w:rsidRDefault="00CB76E5" w:rsidP="00CB76E5">
      <w:pPr>
        <w:tabs>
          <w:tab w:val="left" w:pos="7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/>
          <w:sz w:val="28"/>
          <w:szCs w:val="28"/>
          <w:lang w:val="uk-UA" w:bidi="en-US"/>
        </w:rPr>
        <w:t>5. Комісія розглядає матеріали, подані учасниками конкурсу, визначає їх відповідність умовам проведення конкурсу, перевіряє достовірність наданої інформації,  визначає переможця конкурсу.</w:t>
      </w:r>
    </w:p>
    <w:p w:rsidR="00CB76E5" w:rsidRDefault="00CB76E5" w:rsidP="00CB76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/>
          <w:sz w:val="28"/>
          <w:szCs w:val="28"/>
          <w:lang w:val="uk-UA" w:bidi="en-US"/>
        </w:rPr>
        <w:t>6. Комісія має право</w:t>
      </w:r>
      <w:r>
        <w:rPr>
          <w:rFonts w:ascii="Times New Roman" w:eastAsia="Times New Roman" w:hAnsi="Times New Roman"/>
          <w:i/>
          <w:sz w:val="28"/>
          <w:szCs w:val="28"/>
          <w:lang w:val="uk-UA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відмовити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претенденту в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участі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bidi="en-US"/>
        </w:rPr>
        <w:t>в к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онкурсі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підставі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невідповідності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bidi="en-US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вимог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bidi="en-US"/>
        </w:rPr>
        <w:t xml:space="preserve"> участі у  к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онкурс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bidi="en-US"/>
        </w:rPr>
        <w:t>і</w:t>
      </w:r>
      <w:r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CB76E5" w:rsidRDefault="00CB76E5" w:rsidP="00CB76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/>
          <w:sz w:val="28"/>
          <w:szCs w:val="28"/>
          <w:lang w:val="uk-UA" w:bidi="en-US"/>
        </w:rPr>
        <w:t>7. Комісія є повноважною за умови присутності на засіданні не менше двох третин від її затвердженого складу.</w:t>
      </w:r>
    </w:p>
    <w:p w:rsidR="00CB76E5" w:rsidRDefault="00CB76E5" w:rsidP="00CB76E5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val="uk-UA" w:bidi="en-US"/>
        </w:rPr>
      </w:pPr>
      <w:r>
        <w:rPr>
          <w:rFonts w:ascii="Times New Roman" w:eastAsia="Times New Roman" w:hAnsi="Times New Roman"/>
          <w:sz w:val="28"/>
          <w:szCs w:val="28"/>
          <w:lang w:val="uk-UA" w:bidi="en-US"/>
        </w:rPr>
        <w:t>8. Рішення комісії ухвалюється шляхом відкритого голосування простою більшістю голосів присутніх на засіданні членів комісії. У разі рівного розподілу голосів вирішальним є голос голови комісії.</w:t>
      </w:r>
    </w:p>
    <w:p w:rsidR="00CB76E5" w:rsidRDefault="00CB76E5" w:rsidP="00CB7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bidi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ІІ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bidi="en-US"/>
        </w:rPr>
        <w:t>І</w:t>
      </w:r>
      <w:r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. Порядок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проведення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bidi="en-US"/>
        </w:rPr>
        <w:t>к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онкурсу</w:t>
      </w:r>
      <w:proofErr w:type="spellEnd"/>
    </w:p>
    <w:p w:rsidR="00CB76E5" w:rsidRDefault="00CB76E5" w:rsidP="00CB76E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Конкурс проводиться у чотири етапи:</w:t>
      </w:r>
    </w:p>
    <w:p w:rsidR="00CB76E5" w:rsidRDefault="00CB76E5" w:rsidP="00CB76E5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val="uk-UA" w:eastAsia="ar-SA"/>
        </w:rPr>
      </w:pPr>
      <w:r>
        <w:rPr>
          <w:rFonts w:ascii="Times New Roman" w:eastAsia="Times New Roman" w:hAnsi="Times New Roman"/>
          <w:sz w:val="28"/>
          <w:szCs w:val="28"/>
          <w:lang w:val="uk-UA" w:eastAsia="ar-SA"/>
        </w:rPr>
        <w:t>І етап – оголошення про проведення конкурсу на офіційному сайті Степанківської сільської територіальної громади;</w:t>
      </w:r>
    </w:p>
    <w:p w:rsidR="00CB76E5" w:rsidRDefault="00CB76E5" w:rsidP="00CB76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ІІ етап – подання до комісії упродовж 20 робочих днів після оголошення конкурсу заявок закладами загальної середньої освіти на участь у конкурсі;</w:t>
      </w:r>
    </w:p>
    <w:p w:rsidR="00CB76E5" w:rsidRDefault="00CB76E5" w:rsidP="00CB76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ІІІ етап – вивчення членами конкурсної комісії поданих матеріалів, визначення  достовірності наданої інформації та відповідності вимогам (3 дні);</w:t>
      </w:r>
    </w:p>
    <w:p w:rsidR="00CB76E5" w:rsidRDefault="00CB76E5" w:rsidP="00CB76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етап – визначення переможця конкурсу.</w:t>
      </w:r>
    </w:p>
    <w:p w:rsidR="00CB76E5" w:rsidRDefault="00CB76E5" w:rsidP="00CB76E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2. Учасниками конкурсу є заклади загальної середньої освіти Степанківської сільської ради з чисельністю учнів не менше 200 осіб.</w:t>
      </w:r>
    </w:p>
    <w:p w:rsidR="00CB76E5" w:rsidRDefault="00CB76E5" w:rsidP="00CB76E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 Для участі у ІІ етапі конкурсу закладам освіти необхідно подати до відділу освіти, культури, туризму, молоді, спорту та охорони здоров’я  виконавчого комітету Степанківської сільської ради заявку про участь у конкурсі довільної форми, до якої додаються такі документи:</w:t>
      </w:r>
    </w:p>
    <w:p w:rsidR="00CB76E5" w:rsidRDefault="00CB76E5" w:rsidP="00CB76E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1) план розвитку закладу освіти (до 10 сторінок) на наступні 3 роки, який містить таку обов’язкову інформацію:</w:t>
      </w:r>
    </w:p>
    <w:p w:rsidR="00CB76E5" w:rsidRDefault="00CB76E5" w:rsidP="00CB76E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- відомості про орієнтовну кількість учнів, які будуть навчатися в опорному закладі (окремо вказати проектну потужність опорного закладу, орієнтовну кількість учнів, які будуть підвозитися на навчання до опорного закладу з інших населених пунктів; маршрути підвезення учнів та педагогічних працівників (з розрахунком відстаней та приблизного часу перебування у дорозі, транспорт, яким буде здійснюватись підвезення);</w:t>
      </w:r>
    </w:p>
    <w:p w:rsidR="00CB76E5" w:rsidRDefault="00CB76E5" w:rsidP="00CB76E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наявність належної матеріально-технічної бази (обладнаних спортивних об’єктів, кабінетів природничо-математичного та іншого спрямування, лабораторій, навчальних майстерень, їдальні (вказати кількість посадкових місць), внутрішніх санвузлів для учнів, комп’ютерного і мультимедійного обладнання, швидкісного доступу до Інтернету, наявність мережі Wi-Fi з безоплатним доступом, створення умов для навчання дітей з особливими освітніми потребами);</w:t>
      </w:r>
    </w:p>
    <w:p w:rsidR="00CB76E5" w:rsidRDefault="00CB76E5" w:rsidP="00CB76E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мережа класів, їх наповнюваність та перспектива розвитку;</w:t>
      </w:r>
    </w:p>
    <w:p w:rsidR="00CB76E5" w:rsidRDefault="00CB76E5" w:rsidP="00CB76E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укомплектування бібліотечного фонду підручниками, науково-методичною, художньою та довідковою літературою, електронними підручниками, ліцензованим програмним забезпеченням;</w:t>
      </w:r>
    </w:p>
    <w:p w:rsidR="00CB76E5" w:rsidRDefault="00CB76E5" w:rsidP="00CB76E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val="uk-UA" w:eastAsia="ar-S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організація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допрофільної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підготовки і профільного навчання;</w:t>
      </w:r>
    </w:p>
    <w:p w:rsidR="00CB76E5" w:rsidRDefault="00CB76E5" w:rsidP="00CB76E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організація інклюзивного навчання за наявності дітей з особливими потребами;</w:t>
      </w:r>
    </w:p>
    <w:p w:rsidR="00CB76E5" w:rsidRDefault="00CB76E5" w:rsidP="00CB76E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>- рівень забезпечення кваліфікованими педагогічними кадрами, якісний склад та досягнення педагогічного колективу;</w:t>
      </w:r>
    </w:p>
    <w:p w:rsidR="00CB76E5" w:rsidRDefault="00CB76E5" w:rsidP="00CB76E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bidi="en-US"/>
        </w:rPr>
        <w:t>- наявність веб-сайту, його змістовність та відповідність статті 30 Закону України «Про освіту»;</w:t>
      </w:r>
    </w:p>
    <w:p w:rsidR="00CB76E5" w:rsidRDefault="00CB76E5" w:rsidP="00CB76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val="uk-UA" w:bidi="en-US"/>
        </w:rPr>
        <w:t>2)</w:t>
      </w:r>
      <w:r>
        <w:rPr>
          <w:rFonts w:ascii="Times New Roman" w:eastAsia="Times New Roman" w:hAnsi="Times New Roman"/>
          <w:sz w:val="20"/>
          <w:lang w:val="uk-UA"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bidi="en-US"/>
        </w:rPr>
        <w:t>якість надання освітніх послуг закладом загальної середньої освіти за останні 3 роки:</w:t>
      </w:r>
    </w:p>
    <w:p w:rsidR="00CB76E5" w:rsidRDefault="00CB76E5" w:rsidP="00CB76E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результати зовнішнього незалежного оцінювання, моніторингових досліджень, учнівських олімпіад з навчальних предметів, конкурсу-захисту робіт членів Малої академії наук, інших конкурсів та змагань;</w:t>
      </w:r>
    </w:p>
    <w:p w:rsidR="00CB76E5" w:rsidRDefault="00CB76E5" w:rsidP="00CB76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/>
          <w:sz w:val="28"/>
          <w:szCs w:val="28"/>
          <w:lang w:val="uk-UA" w:bidi="en-US"/>
        </w:rPr>
        <w:t>-  нагородження учнів медалями;</w:t>
      </w:r>
    </w:p>
    <w:p w:rsidR="00CB76E5" w:rsidRDefault="00CB76E5" w:rsidP="00CB76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val="uk-UA" w:bidi="en-US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працевлаштування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випускників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>;</w:t>
      </w:r>
    </w:p>
    <w:p w:rsidR="00CB76E5" w:rsidRDefault="00CB76E5" w:rsidP="00CB76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/>
          <w:sz w:val="28"/>
          <w:szCs w:val="28"/>
          <w:lang w:val="uk-UA" w:bidi="en-US"/>
        </w:rPr>
        <w:t xml:space="preserve">- участь педагогічних працівників у професійних конкурсах, Всеукраїнському конкурсі «Учитель року», виставках педагогічного досвіду, фестивалях, проектах, поширення перспективного педагогічного досвіду шляхом проведення семінарів, майстер-класів, публікацій у фахових друкованих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bidi="en-US"/>
        </w:rPr>
        <w:t>інтернет-виданнях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bidi="en-US"/>
        </w:rPr>
        <w:t xml:space="preserve"> тощо;</w:t>
      </w:r>
    </w:p>
    <w:p w:rsidR="00CB76E5" w:rsidRDefault="00CB76E5" w:rsidP="00CB76E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3) опис інвестиційних потреб опорного закладу (придбання шкільних автобусів для перевезення учнів, оснащення навчальних кабінетів, придбання мультимедійного обладнання, встановлення мережі Wi-Fi з безкоштовним (безпечним) доступом, заходи з енергозбереження, ремонт приміщень, професійний розвиток педагогів тощо).</w:t>
      </w:r>
    </w:p>
    <w:p w:rsidR="00CB76E5" w:rsidRDefault="00CB76E5" w:rsidP="00CB76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/>
          <w:sz w:val="28"/>
          <w:szCs w:val="28"/>
          <w:lang w:val="uk-UA" w:bidi="en-US"/>
        </w:rPr>
        <w:t xml:space="preserve">3.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Конкурсні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матер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>іали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оформляються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 одному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примірнику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комп’ютерним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набором.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Обов’язково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додається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електронна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версія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bidi="en-US"/>
        </w:rPr>
        <w:t xml:space="preserve">в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текстовому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редакторі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Word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bidi="en-US"/>
        </w:rPr>
        <w:t>.</w:t>
      </w:r>
    </w:p>
    <w:p w:rsidR="00CB76E5" w:rsidRDefault="00CB76E5" w:rsidP="00CB76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/>
          <w:sz w:val="28"/>
          <w:szCs w:val="28"/>
          <w:lang w:val="uk-UA" w:bidi="en-US"/>
        </w:rPr>
        <w:t>4. Інформація про початок, Положення про умови конкурсу, подані на конкурс матеріали та результати конкурсу розміщуються на офіційному сайті Степанківської сільської територіальної громади.</w:t>
      </w:r>
    </w:p>
    <w:p w:rsidR="00CB76E5" w:rsidRDefault="00CB76E5" w:rsidP="00CB76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bidi="en-US"/>
        </w:rPr>
      </w:pPr>
    </w:p>
    <w:p w:rsidR="00CB76E5" w:rsidRDefault="00CB76E5" w:rsidP="00CB76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val="uk-UA" w:bidi="en-US"/>
        </w:rPr>
        <w:t>І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V.</w:t>
      </w:r>
      <w:r>
        <w:rPr>
          <w:rFonts w:ascii="Times New Roman" w:eastAsia="Times New Roman" w:hAnsi="Times New Roman"/>
          <w:b/>
          <w:sz w:val="28"/>
          <w:szCs w:val="28"/>
          <w:lang w:val="uk-UA"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Визначення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переможця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bidi="en-US"/>
        </w:rPr>
        <w:t>к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онкурсу</w:t>
      </w:r>
      <w:proofErr w:type="spellEnd"/>
    </w:p>
    <w:p w:rsidR="00CB76E5" w:rsidRDefault="00CB76E5" w:rsidP="00CB76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CB76E5" w:rsidRDefault="00CB76E5" w:rsidP="00CB76E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val="uk-UA" w:bidi="en-US"/>
        </w:rPr>
      </w:pPr>
      <w:r>
        <w:rPr>
          <w:rFonts w:ascii="Times New Roman" w:eastAsia="Times New Roman" w:hAnsi="Times New Roman"/>
          <w:sz w:val="28"/>
          <w:szCs w:val="28"/>
          <w:lang w:val="uk-UA" w:bidi="en-US"/>
        </w:rPr>
        <w:t>1.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Визначення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переможця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bidi="en-US"/>
        </w:rPr>
        <w:t>к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онкурсу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проводиться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комісією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bidi="en-US"/>
        </w:rPr>
        <w:t>н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а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основі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Критеріїв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оцінювання та визначення переможця</w:t>
      </w:r>
      <w:r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опорного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загальної середньої освіти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дода</w:t>
      </w:r>
      <w:r>
        <w:rPr>
          <w:rFonts w:ascii="Times New Roman" w:hAnsi="Times New Roman"/>
          <w:sz w:val="28"/>
          <w:szCs w:val="28"/>
          <w:lang w:val="uk-UA"/>
        </w:rPr>
        <w:t>ток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</w:rPr>
        <w:t>загальною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сумою </w:t>
      </w:r>
      <w:proofErr w:type="spellStart"/>
      <w:r>
        <w:rPr>
          <w:rFonts w:ascii="Times New Roman" w:hAnsi="Times New Roman"/>
          <w:sz w:val="28"/>
          <w:szCs w:val="28"/>
        </w:rPr>
        <w:t>балів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Оцінювання за кожним із критеріїв здійснюється за 10-бальною шкалою (від 1 до 10 балів).</w:t>
      </w:r>
      <w:proofErr w:type="gramEnd"/>
    </w:p>
    <w:p w:rsidR="00CB76E5" w:rsidRDefault="00CB76E5" w:rsidP="00CB76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val="uk-UA" w:bidi="en-US"/>
        </w:rPr>
        <w:t>2.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Висновок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>ішення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комісії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пода</w:t>
      </w:r>
      <w:r>
        <w:rPr>
          <w:rFonts w:ascii="Times New Roman" w:eastAsia="Times New Roman" w:hAnsi="Times New Roman"/>
          <w:sz w:val="28"/>
          <w:szCs w:val="28"/>
          <w:lang w:val="uk-UA" w:bidi="en-US"/>
        </w:rPr>
        <w:t>ю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ться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до </w:t>
      </w:r>
      <w:r>
        <w:rPr>
          <w:rFonts w:ascii="Times New Roman" w:eastAsia="Times New Roman" w:hAnsi="Times New Roman"/>
          <w:sz w:val="28"/>
          <w:szCs w:val="28"/>
          <w:lang w:val="uk-UA" w:bidi="en-US"/>
        </w:rPr>
        <w:t xml:space="preserve">Степанківської сільської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ради для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прийняття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рішення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про </w:t>
      </w:r>
      <w:r>
        <w:rPr>
          <w:rFonts w:ascii="Times New Roman" w:eastAsia="Times New Roman" w:hAnsi="Times New Roman"/>
          <w:sz w:val="28"/>
          <w:szCs w:val="28"/>
          <w:lang w:val="uk-UA" w:bidi="en-US"/>
        </w:rPr>
        <w:t xml:space="preserve">присвоєння закладу загальної середньої освіти статусу </w:t>
      </w:r>
      <w:r>
        <w:rPr>
          <w:rFonts w:ascii="Times New Roman" w:eastAsia="Times New Roman" w:hAnsi="Times New Roman"/>
          <w:sz w:val="28"/>
          <w:szCs w:val="28"/>
          <w:lang w:bidi="en-US"/>
        </w:rPr>
        <w:t>опорного закладу.</w:t>
      </w:r>
    </w:p>
    <w:p w:rsidR="00CB76E5" w:rsidRDefault="00CB76E5" w:rsidP="00CB76E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val="uk-UA" w:bidi="en-US"/>
        </w:rPr>
        <w:t>3.</w:t>
      </w:r>
      <w:r>
        <w:rPr>
          <w:rFonts w:ascii="Times New Roman" w:eastAsia="Times New Roman" w:hAnsi="Times New Roman"/>
          <w:b/>
          <w:sz w:val="28"/>
          <w:szCs w:val="28"/>
          <w:lang w:val="uk-UA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Інші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питання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що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не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врегульовані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цим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bidi="en-US"/>
        </w:rPr>
        <w:t xml:space="preserve"> положенням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визначаються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чинним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законодавством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CB76E5" w:rsidRDefault="00CB76E5" w:rsidP="00CB76E5">
      <w:pPr>
        <w:rPr>
          <w:rFonts w:ascii="Times New Roman" w:eastAsia="Times New Roman" w:hAnsi="Times New Roman"/>
          <w:b/>
          <w:sz w:val="28"/>
          <w:szCs w:val="28"/>
          <w:lang w:val="uk-UA" w:bidi="en-US"/>
        </w:rPr>
      </w:pPr>
    </w:p>
    <w:p w:rsidR="00821DB2" w:rsidRDefault="00CB76E5" w:rsidP="00CB76E5">
      <w:r>
        <w:rPr>
          <w:rFonts w:ascii="Times New Roman" w:eastAsia="Times New Roman" w:hAnsi="Times New Roman"/>
          <w:sz w:val="28"/>
          <w:szCs w:val="28"/>
          <w:lang w:val="uk-UA" w:bidi="en-US"/>
        </w:rPr>
        <w:t>Секретар сільської ради, виконкому                                           Інна НЕВГОД</w:t>
      </w:r>
      <w:bookmarkStart w:id="4" w:name="_GoBack"/>
      <w:bookmarkEnd w:id="4"/>
    </w:p>
    <w:sectPr w:rsidR="00821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8A9"/>
    <w:multiLevelType w:val="hybridMultilevel"/>
    <w:tmpl w:val="878EBA2E"/>
    <w:lvl w:ilvl="0" w:tplc="902437B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82"/>
    <w:rsid w:val="00821DB2"/>
    <w:rsid w:val="009D1682"/>
    <w:rsid w:val="00CB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1240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2024-01-15T12:11:00Z</dcterms:created>
  <dcterms:modified xsi:type="dcterms:W3CDTF">2024-01-15T12:11:00Z</dcterms:modified>
</cp:coreProperties>
</file>