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74A8" w:rsidRPr="00F722CB" w:rsidRDefault="005774A8" w:rsidP="005774A8">
      <w:pPr>
        <w:widowControl/>
        <w:tabs>
          <w:tab w:val="left" w:pos="6945"/>
        </w:tabs>
        <w:ind w:firstLine="6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F722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Додаток</w:t>
      </w:r>
      <w:r w:rsidRPr="005774A8">
        <w:t xml:space="preserve"> 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до </w:t>
      </w:r>
      <w:r w:rsidR="0094024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проекту 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рішення</w:t>
      </w:r>
      <w:r w:rsidRPr="00F722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5774A8" w:rsidRPr="00F722CB" w:rsidRDefault="005774A8" w:rsidP="005774A8">
      <w:pPr>
        <w:widowControl/>
        <w:tabs>
          <w:tab w:val="left" w:pos="6945"/>
        </w:tabs>
        <w:ind w:firstLine="6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F722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Степанківської сільської ради</w:t>
      </w:r>
    </w:p>
    <w:p w:rsidR="005774A8" w:rsidRDefault="005774A8" w:rsidP="005774A8">
      <w:pPr>
        <w:widowControl/>
        <w:tabs>
          <w:tab w:val="left" w:pos="6945"/>
        </w:tabs>
        <w:ind w:firstLine="6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№</w:t>
      </w:r>
      <w:r w:rsidR="0094024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00-00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/VІІІ від </w:t>
      </w:r>
      <w:r w:rsidR="0094024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00.00</w:t>
      </w:r>
      <w:r w:rsidRPr="00F722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.202</w:t>
      </w:r>
      <w:r w:rsidR="0094024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4</w:t>
      </w:r>
      <w:r w:rsidRPr="00F722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року</w:t>
      </w:r>
    </w:p>
    <w:p w:rsidR="005774A8" w:rsidRDefault="005774A8" w:rsidP="005774A8">
      <w:pPr>
        <w:widowControl/>
        <w:tabs>
          <w:tab w:val="left" w:pos="6945"/>
        </w:tabs>
        <w:ind w:firstLine="6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5774A8" w:rsidRPr="005774A8" w:rsidRDefault="005774A8" w:rsidP="005774A8">
      <w:pPr>
        <w:widowControl/>
        <w:spacing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Звіт головного розпорядника бюджетних коштів</w:t>
      </w:r>
    </w:p>
    <w:p w:rsidR="005774A8" w:rsidRPr="005774A8" w:rsidRDefault="005774A8" w:rsidP="005774A8">
      <w:pPr>
        <w:widowControl/>
        <w:spacing w:line="259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  <w:r w:rsidRPr="005774A8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</w:t>
      </w:r>
      <w:r w:rsidRPr="005774A8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 xml:space="preserve">Фінансовий відділ Степанківської сільської ради </w:t>
      </w:r>
    </w:p>
    <w:p w:rsidR="005774A8" w:rsidRPr="005774A8" w:rsidRDefault="005774A8" w:rsidP="005774A8">
      <w:pPr>
        <w:widowControl/>
        <w:spacing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щодо</w:t>
      </w:r>
      <w:r w:rsidRPr="005774A8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використання бюджетних коштів, виконання бюджетних програм та</w:t>
      </w:r>
    </w:p>
    <w:p w:rsidR="005774A8" w:rsidRPr="005774A8" w:rsidRDefault="005774A8" w:rsidP="005774A8">
      <w:pPr>
        <w:widowControl/>
        <w:spacing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досягнення цілей державної політики у 202</w:t>
      </w:r>
      <w:r w:rsidR="0094024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році</w:t>
      </w:r>
    </w:p>
    <w:p w:rsidR="005774A8" w:rsidRPr="005774A8" w:rsidRDefault="005774A8" w:rsidP="005774A8">
      <w:pPr>
        <w:widowControl/>
        <w:spacing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774A8" w:rsidRPr="005774A8" w:rsidRDefault="005774A8" w:rsidP="005774A8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Фінансовий відділ Степанківської сільської ради зареєстровано за </w:t>
      </w:r>
      <w:proofErr w:type="spellStart"/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адресою</w:t>
      </w:r>
      <w:proofErr w:type="spellEnd"/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 Черкаська область, Черкаський район, село Степанки, вул. Героїв України, 124, тел.0472-587-375</w:t>
      </w:r>
    </w:p>
    <w:p w:rsidR="005774A8" w:rsidRPr="005774A8" w:rsidRDefault="005774A8" w:rsidP="005774A8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Основною метою діяльності фінансового відділу Степанківської сільської ради є керівництво і управління у сфері фінансів. Основним завданням є забезпечення виконання наданих законодавством повноважень.</w:t>
      </w:r>
    </w:p>
    <w:p w:rsidR="005774A8" w:rsidRPr="005774A8" w:rsidRDefault="005774A8" w:rsidP="005774A8">
      <w:pPr>
        <w:widowControl/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Фінансовий відділ створений рішенням сесії від 17.11.2020 року №52-2/VІІ «Про створення Фінансового відділу Степанківської сільської ради, затвердження Положення про Фінансовий відділ Степанківської сільської ради», як юридичну особу публічного права, установу, що відповідно до законодавства України здійснює функції з складання, виконання сільського бюджету, контролю за витрачанням коштів розпорядниками бюджетних коштів, а також інші функції, пов’язані з управлінням коштами місцевого бюджету, в</w:t>
      </w:r>
      <w:r w:rsidRPr="005774A8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своїй діяльності регламентується Положенням про фінансовий відділ, затвердженим рішенням 52 сесії 7 скликання сільської ради від 17 листопада 2020 року №02 та керується Конституцією України, Бюджетним кодексом України, Податковим кодексом України, законами України, постановами Верховної Ради України, актами Президента України, нормативно-правовими актами Кабінету Міністрів України, Міністерства фінансів України, рішеннями обласної рад, розпорядженнями сільського голови та забезпечує їх виконання в межах компетенції.</w:t>
      </w:r>
    </w:p>
    <w:p w:rsidR="005774A8" w:rsidRPr="005774A8" w:rsidRDefault="005774A8" w:rsidP="005774A8">
      <w:pPr>
        <w:widowControl/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Штатна чисельність працівників фінансового відділу Степанківської сільської ради на 31.12.202</w:t>
      </w:r>
      <w:r w:rsidR="000B47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року складає 4 штатних одиниць, фактично зайнята чисельність складає 2 штатних одиниці.</w:t>
      </w:r>
    </w:p>
    <w:p w:rsidR="005774A8" w:rsidRPr="005774A8" w:rsidRDefault="005774A8" w:rsidP="005774A8">
      <w:pPr>
        <w:widowControl/>
        <w:tabs>
          <w:tab w:val="left" w:pos="426"/>
        </w:tabs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 складі бюджетної програми 3710160 «Керівництво і управління у відповідній сфері у містах (місті Києві), селищах, селах, територіальних громадах» по загальному фонду бюджету затверджені бюджетні призначення на виконання місцевої програми </w:t>
      </w:r>
      <w:r w:rsidR="000B47A2" w:rsidRPr="000B47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"Підтримка і розвиток місцевого самоврядування" на 2023рік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затвердженої </w:t>
      </w:r>
      <w:r w:rsidR="000B47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</w:t>
      </w:r>
      <w:r w:rsidR="000B47A2" w:rsidRPr="000B47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ішення</w:t>
      </w:r>
      <w:r w:rsidR="000B47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</w:t>
      </w:r>
      <w:r w:rsidR="000B47A2" w:rsidRPr="000B47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виконавчого комітету Степанківської сільської ради від 28.10.2022 №125 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сумі </w:t>
      </w:r>
      <w:r w:rsidR="000B47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772220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грн, </w:t>
      </w:r>
      <w:bookmarkStart w:id="0" w:name="_Hlk158211159"/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касові видатки по загальному фонду склали </w:t>
      </w:r>
      <w:bookmarkEnd w:id="0"/>
      <w:r w:rsidR="000B47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674313,39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грн, в </w:t>
      </w:r>
      <w:proofErr w:type="spellStart"/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т.ч</w:t>
      </w:r>
      <w:proofErr w:type="spellEnd"/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на виплату заробітної 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плати з нарахуваннями кошти спрямовано у сумі </w:t>
      </w:r>
      <w:r w:rsidR="000B47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642973,37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грн, на предмети, матеріали, обладнання та інвентар спрямовано у сумі </w:t>
      </w:r>
      <w:r w:rsidR="000B47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16986,02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грн, на оплату послуг у сумі </w:t>
      </w:r>
      <w:r w:rsidR="000B47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14354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грн, видатки виконано на </w:t>
      </w:r>
      <w:r w:rsidR="000B47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87,32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%.</w:t>
      </w:r>
    </w:p>
    <w:p w:rsidR="005774A8" w:rsidRPr="005774A8" w:rsidRDefault="005774A8" w:rsidP="005774A8">
      <w:pPr>
        <w:widowControl/>
        <w:tabs>
          <w:tab w:val="left" w:pos="426"/>
        </w:tabs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Економія виникла по КЕКВ 2111 «Заробітна плата» в сумі </w:t>
      </w:r>
      <w:r w:rsidR="000B47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74922,65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грн у зв’язку з наявністю вакансій, середньооблікова кількість штатних працівників відділу за 202</w:t>
      </w:r>
      <w:r w:rsidR="000B47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рік складає 2 особи, по КЕКВ 2120 «Нарахування на оплату праці» в сумі </w:t>
      </w:r>
      <w:r w:rsidR="000B47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17323,98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грн по сплаті єдиного соціального внеску, по КЕКВ 2210 «Предмети, матеріали, обладнання та інвентар» в сумі </w:t>
      </w:r>
      <w:r w:rsidR="000B47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13,98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грн, по КЕКВ 2240 «Оплата послуг (крім комунальних)» в сумі </w:t>
      </w:r>
      <w:r w:rsidR="00755AC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5646,00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грн у зв’язку із економією, що склалась з оплати послуг ремонту комп’ютерної техніки.</w:t>
      </w:r>
    </w:p>
    <w:p w:rsidR="00755AC2" w:rsidRDefault="005774A8" w:rsidP="005774A8">
      <w:pPr>
        <w:widowControl/>
        <w:tabs>
          <w:tab w:val="left" w:pos="426"/>
        </w:tabs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 спеціальному фонду бюджету бюджетні призначення на 202</w:t>
      </w:r>
      <w:r w:rsidR="00755AC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рік затвердж</w:t>
      </w:r>
      <w:r w:rsidR="00755AC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ені в сумі 26000,00грн, </w:t>
      </w:r>
      <w:r w:rsidR="00755AC2" w:rsidRPr="00755AC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касові видатки по загальному фонду склали</w:t>
      </w:r>
      <w:r w:rsidR="00755AC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22235,00 грн.</w:t>
      </w:r>
    </w:p>
    <w:p w:rsidR="005774A8" w:rsidRPr="005774A8" w:rsidRDefault="005774A8" w:rsidP="005774A8">
      <w:pPr>
        <w:widowControl/>
        <w:tabs>
          <w:tab w:val="left" w:pos="426"/>
        </w:tabs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Кредиторська та дебіторська заборгованість по загальному та спеціальному фонду станом на 01.01.202</w:t>
      </w:r>
      <w:r w:rsidR="00755AC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року відсутня.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Фінансовий відділ Степанківської сільської ради протягом 202</w:t>
      </w:r>
      <w:r w:rsidR="00CC7F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року постійно здійснював контроль за дотриманням бюджетного законодавства на кожній стадії бюджетного процесу, а також за витрачанням коштів, виділених з бюджету громади по всіх напрямках і видах витрат.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Протягом 202</w:t>
      </w:r>
      <w:r w:rsidR="00CC7F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року було досягнуто ціль державної політики у сфері діяльності головного розпорядника коштів, а зокрема забезпечення виконання наданих законодавством повноважень у сфері фінансів та бюджету. 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</w:t>
      </w:r>
      <w:r w:rsidRPr="005774A8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Показники, що характеризують обсяг використання бюджетних коштів у 202</w:t>
      </w:r>
      <w:r w:rsidR="00CC7FC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3</w:t>
      </w:r>
      <w:r w:rsidRPr="005774A8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році</w:t>
      </w:r>
    </w:p>
    <w:tbl>
      <w:tblPr>
        <w:tblStyle w:val="a6"/>
        <w:tblW w:w="9356" w:type="dxa"/>
        <w:tblLook w:val="04A0" w:firstRow="1" w:lastRow="0" w:firstColumn="1" w:lastColumn="0" w:noHBand="0" w:noVBand="1"/>
      </w:tblPr>
      <w:tblGrid>
        <w:gridCol w:w="1145"/>
        <w:gridCol w:w="611"/>
        <w:gridCol w:w="1140"/>
        <w:gridCol w:w="1213"/>
        <w:gridCol w:w="1156"/>
        <w:gridCol w:w="1822"/>
        <w:gridCol w:w="1191"/>
        <w:gridCol w:w="1078"/>
      </w:tblGrid>
      <w:tr w:rsidR="005774A8" w:rsidRPr="005774A8" w:rsidTr="003742CE">
        <w:trPr>
          <w:gridBefore w:val="1"/>
          <w:wBefore w:w="1145" w:type="dxa"/>
        </w:trPr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4A8" w:rsidRPr="005774A8" w:rsidRDefault="005774A8" w:rsidP="005774A8">
            <w:pPr>
              <w:jc w:val="both"/>
              <w:rPr>
                <w:rFonts w:ascii="Times New Roman" w:eastAsia="Times New Roman" w:hAnsi="Times New Roman"/>
                <w:b/>
                <w:color w:val="auto"/>
                <w:sz w:val="6"/>
                <w:szCs w:val="6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4A8" w:rsidRPr="005774A8" w:rsidRDefault="005774A8" w:rsidP="005774A8">
            <w:pPr>
              <w:jc w:val="both"/>
              <w:rPr>
                <w:rFonts w:ascii="Times New Roman" w:eastAsia="Times New Roman" w:hAnsi="Times New Roman"/>
                <w:b/>
                <w:color w:val="auto"/>
                <w:sz w:val="6"/>
                <w:szCs w:val="6"/>
                <w:lang w:eastAsia="ru-RU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4A8" w:rsidRPr="005774A8" w:rsidRDefault="005774A8" w:rsidP="005774A8">
            <w:pPr>
              <w:jc w:val="both"/>
              <w:rPr>
                <w:rFonts w:ascii="Times New Roman" w:eastAsia="Times New Roman" w:hAnsi="Times New Roman"/>
                <w:b/>
                <w:color w:val="auto"/>
                <w:sz w:val="6"/>
                <w:szCs w:val="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4A8" w:rsidRPr="005774A8" w:rsidRDefault="005774A8" w:rsidP="005774A8">
            <w:pPr>
              <w:jc w:val="both"/>
              <w:rPr>
                <w:rFonts w:ascii="Times New Roman" w:eastAsia="Times New Roman" w:hAnsi="Times New Roman"/>
                <w:b/>
                <w:color w:val="auto"/>
                <w:sz w:val="6"/>
                <w:szCs w:val="6"/>
                <w:lang w:eastAsia="ru-RU"/>
              </w:rPr>
            </w:pPr>
          </w:p>
        </w:tc>
      </w:tr>
      <w:tr w:rsidR="005774A8" w:rsidRPr="005774A8" w:rsidTr="003742CE">
        <w:tc>
          <w:tcPr>
            <w:tcW w:w="1756" w:type="dxa"/>
            <w:gridSpan w:val="2"/>
            <w:tcBorders>
              <w:top w:val="single" w:sz="4" w:space="0" w:color="auto"/>
            </w:tcBorders>
          </w:tcPr>
          <w:p w:rsidR="005774A8" w:rsidRPr="005774A8" w:rsidRDefault="005774A8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proofErr w:type="spellStart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Найменування</w:t>
            </w:r>
            <w:proofErr w:type="spellEnd"/>
          </w:p>
        </w:tc>
        <w:tc>
          <w:tcPr>
            <w:tcW w:w="2353" w:type="dxa"/>
            <w:gridSpan w:val="2"/>
            <w:tcBorders>
              <w:top w:val="single" w:sz="4" w:space="0" w:color="auto"/>
            </w:tcBorders>
          </w:tcPr>
          <w:p w:rsidR="005774A8" w:rsidRPr="005774A8" w:rsidRDefault="005774A8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План </w:t>
            </w:r>
            <w:proofErr w:type="spellStart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зі</w:t>
            </w:r>
            <w:proofErr w:type="spellEnd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  <w:proofErr w:type="spellStart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змінами</w:t>
            </w:r>
            <w:proofErr w:type="spellEnd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202</w:t>
            </w:r>
            <w:r w:rsidR="00CC7FC0">
              <w:rPr>
                <w:rFonts w:ascii="Times New Roman" w:eastAsia="Times New Roman" w:hAnsi="Times New Roman"/>
                <w:color w:val="auto"/>
                <w:lang w:eastAsia="ru-RU"/>
              </w:rPr>
              <w:t>3</w:t>
            </w:r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  <w:proofErr w:type="spellStart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рік</w:t>
            </w:r>
            <w:proofErr w:type="spellEnd"/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5774A8" w:rsidRPr="005774A8" w:rsidRDefault="005774A8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proofErr w:type="spellStart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Звіт</w:t>
            </w:r>
            <w:proofErr w:type="spellEnd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</w:p>
          <w:p w:rsidR="005774A8" w:rsidRPr="005774A8" w:rsidRDefault="005774A8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(</w:t>
            </w:r>
            <w:proofErr w:type="spellStart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касові</w:t>
            </w:r>
            <w:proofErr w:type="spellEnd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  <w:proofErr w:type="spellStart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видатки</w:t>
            </w:r>
            <w:proofErr w:type="spellEnd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/ </w:t>
            </w:r>
            <w:proofErr w:type="spellStart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надані</w:t>
            </w:r>
            <w:proofErr w:type="spellEnd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  <w:proofErr w:type="spellStart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кредити</w:t>
            </w:r>
            <w:proofErr w:type="spellEnd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) 202</w:t>
            </w:r>
            <w:r w:rsidR="00CC7FC0">
              <w:rPr>
                <w:rFonts w:ascii="Times New Roman" w:eastAsia="Times New Roman" w:hAnsi="Times New Roman"/>
                <w:color w:val="auto"/>
                <w:lang w:eastAsia="ru-RU"/>
              </w:rPr>
              <w:t>3</w:t>
            </w:r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  <w:proofErr w:type="spellStart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рік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</w:tcPr>
          <w:p w:rsidR="005774A8" w:rsidRDefault="005774A8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proofErr w:type="spellStart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Відхилення</w:t>
            </w:r>
            <w:proofErr w:type="spellEnd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  <w:proofErr w:type="spellStart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звітних</w:t>
            </w:r>
            <w:proofErr w:type="spellEnd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  <w:proofErr w:type="spellStart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показників</w:t>
            </w:r>
            <w:proofErr w:type="spellEnd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  <w:proofErr w:type="spellStart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від</w:t>
            </w:r>
            <w:proofErr w:type="spellEnd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  <w:proofErr w:type="spellStart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планових</w:t>
            </w:r>
            <w:proofErr w:type="spellEnd"/>
          </w:p>
          <w:p w:rsidR="003742CE" w:rsidRPr="005774A8" w:rsidRDefault="003742CE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5774A8" w:rsidRPr="005774A8" w:rsidTr="003742CE">
        <w:tc>
          <w:tcPr>
            <w:tcW w:w="1756" w:type="dxa"/>
            <w:gridSpan w:val="2"/>
          </w:tcPr>
          <w:p w:rsidR="005774A8" w:rsidRPr="005774A8" w:rsidRDefault="005774A8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proofErr w:type="spellStart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Загальний</w:t>
            </w:r>
            <w:proofErr w:type="spellEnd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фонд</w:t>
            </w:r>
          </w:p>
        </w:tc>
        <w:tc>
          <w:tcPr>
            <w:tcW w:w="2353" w:type="dxa"/>
            <w:gridSpan w:val="2"/>
          </w:tcPr>
          <w:p w:rsidR="005774A8" w:rsidRPr="005774A8" w:rsidRDefault="00E76DD7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772220,00</w:t>
            </w:r>
          </w:p>
        </w:tc>
        <w:tc>
          <w:tcPr>
            <w:tcW w:w="2978" w:type="dxa"/>
            <w:gridSpan w:val="2"/>
          </w:tcPr>
          <w:p w:rsidR="005774A8" w:rsidRPr="005774A8" w:rsidRDefault="00E76DD7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674313,39</w:t>
            </w:r>
          </w:p>
        </w:tc>
        <w:tc>
          <w:tcPr>
            <w:tcW w:w="2269" w:type="dxa"/>
            <w:gridSpan w:val="2"/>
          </w:tcPr>
          <w:p w:rsidR="005774A8" w:rsidRDefault="00E76DD7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-97906,61</w:t>
            </w:r>
          </w:p>
          <w:p w:rsidR="003742CE" w:rsidRPr="005774A8" w:rsidRDefault="003742CE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5774A8" w:rsidRPr="005774A8" w:rsidTr="003742CE">
        <w:tc>
          <w:tcPr>
            <w:tcW w:w="1756" w:type="dxa"/>
            <w:gridSpan w:val="2"/>
          </w:tcPr>
          <w:p w:rsidR="005774A8" w:rsidRPr="005774A8" w:rsidRDefault="005774A8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proofErr w:type="spellStart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Спеціальний</w:t>
            </w:r>
            <w:proofErr w:type="spellEnd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фонд</w:t>
            </w:r>
          </w:p>
        </w:tc>
        <w:tc>
          <w:tcPr>
            <w:tcW w:w="2353" w:type="dxa"/>
            <w:gridSpan w:val="2"/>
          </w:tcPr>
          <w:p w:rsidR="005774A8" w:rsidRPr="005774A8" w:rsidRDefault="00E76DD7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26000,00</w:t>
            </w:r>
          </w:p>
        </w:tc>
        <w:tc>
          <w:tcPr>
            <w:tcW w:w="2978" w:type="dxa"/>
            <w:gridSpan w:val="2"/>
          </w:tcPr>
          <w:p w:rsidR="005774A8" w:rsidRPr="005774A8" w:rsidRDefault="00E76DD7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22235,00</w:t>
            </w:r>
          </w:p>
        </w:tc>
        <w:tc>
          <w:tcPr>
            <w:tcW w:w="2269" w:type="dxa"/>
            <w:gridSpan w:val="2"/>
          </w:tcPr>
          <w:p w:rsidR="005774A8" w:rsidRPr="005774A8" w:rsidRDefault="00E76DD7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-3765,00</w:t>
            </w:r>
          </w:p>
        </w:tc>
      </w:tr>
      <w:tr w:rsidR="005774A8" w:rsidRPr="005774A8" w:rsidTr="003742CE">
        <w:tc>
          <w:tcPr>
            <w:tcW w:w="1756" w:type="dxa"/>
            <w:gridSpan w:val="2"/>
          </w:tcPr>
          <w:p w:rsidR="005774A8" w:rsidRPr="005774A8" w:rsidRDefault="005774A8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ВСЬОГО</w:t>
            </w:r>
          </w:p>
        </w:tc>
        <w:tc>
          <w:tcPr>
            <w:tcW w:w="2353" w:type="dxa"/>
            <w:gridSpan w:val="2"/>
          </w:tcPr>
          <w:p w:rsidR="005774A8" w:rsidRPr="005774A8" w:rsidRDefault="00E76DD7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798220,00</w:t>
            </w:r>
          </w:p>
        </w:tc>
        <w:tc>
          <w:tcPr>
            <w:tcW w:w="2978" w:type="dxa"/>
            <w:gridSpan w:val="2"/>
          </w:tcPr>
          <w:p w:rsidR="005774A8" w:rsidRPr="005774A8" w:rsidRDefault="00E76DD7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696548,39</w:t>
            </w:r>
          </w:p>
        </w:tc>
        <w:tc>
          <w:tcPr>
            <w:tcW w:w="2269" w:type="dxa"/>
            <w:gridSpan w:val="2"/>
          </w:tcPr>
          <w:p w:rsidR="005774A8" w:rsidRDefault="00E76DD7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-1014671,61</w:t>
            </w:r>
          </w:p>
          <w:p w:rsidR="003742CE" w:rsidRPr="005774A8" w:rsidRDefault="003742CE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</w:tbl>
    <w:tbl>
      <w:tblPr>
        <w:tblW w:w="93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577"/>
        <w:gridCol w:w="487"/>
        <w:gridCol w:w="505"/>
        <w:gridCol w:w="841"/>
        <w:gridCol w:w="3402"/>
      </w:tblGrid>
      <w:tr w:rsidR="005774A8" w:rsidRPr="005774A8" w:rsidTr="003236E5">
        <w:trPr>
          <w:trHeight w:hRule="exact" w:val="568"/>
          <w:jc w:val="center"/>
        </w:trPr>
        <w:tc>
          <w:tcPr>
            <w:tcW w:w="93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4A8" w:rsidRPr="005774A8" w:rsidRDefault="005774A8" w:rsidP="005774A8">
            <w:pPr>
              <w:widowControl/>
              <w:ind w:firstLine="129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proofErr w:type="spellStart"/>
            <w:r w:rsidRPr="005774A8">
              <w:rPr>
                <w:rFonts w:ascii="Times New Roman" w:eastAsia="Times New Roman" w:hAnsi="Times New Roman" w:cs="Times New Roman"/>
                <w:b/>
                <w:color w:val="auto"/>
                <w:lang w:val="ru-RU" w:eastAsia="ru-RU" w:bidi="ar-SA"/>
              </w:rPr>
              <w:t>Цілі</w:t>
            </w:r>
            <w:proofErr w:type="spellEnd"/>
            <w:r w:rsidRPr="005774A8">
              <w:rPr>
                <w:rFonts w:ascii="Times New Roman" w:eastAsia="Times New Roman" w:hAnsi="Times New Roman" w:cs="Times New Roman"/>
                <w:b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5774A8">
              <w:rPr>
                <w:rFonts w:ascii="Times New Roman" w:eastAsia="Times New Roman" w:hAnsi="Times New Roman" w:cs="Times New Roman"/>
                <w:b/>
                <w:color w:val="auto"/>
                <w:lang w:val="ru-RU" w:eastAsia="ru-RU" w:bidi="ar-SA"/>
              </w:rPr>
              <w:t>державної</w:t>
            </w:r>
            <w:proofErr w:type="spellEnd"/>
            <w:r w:rsidRPr="005774A8">
              <w:rPr>
                <w:rFonts w:ascii="Times New Roman" w:eastAsia="Times New Roman" w:hAnsi="Times New Roman" w:cs="Times New Roman"/>
                <w:b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5774A8">
              <w:rPr>
                <w:rFonts w:ascii="Times New Roman" w:eastAsia="Times New Roman" w:hAnsi="Times New Roman" w:cs="Times New Roman"/>
                <w:b/>
                <w:color w:val="auto"/>
                <w:lang w:val="ru-RU" w:eastAsia="ru-RU" w:bidi="ar-SA"/>
              </w:rPr>
              <w:t>політики</w:t>
            </w:r>
            <w:proofErr w:type="spellEnd"/>
            <w:r w:rsidRPr="005774A8">
              <w:rPr>
                <w:rFonts w:ascii="Times New Roman" w:eastAsia="Times New Roman" w:hAnsi="Times New Roman" w:cs="Times New Roman"/>
                <w:b/>
                <w:color w:val="auto"/>
                <w:lang w:val="ru-RU" w:eastAsia="ru-RU" w:bidi="ar-SA"/>
              </w:rPr>
              <w:t xml:space="preserve"> у сфер</w:t>
            </w:r>
            <w:r w:rsidRPr="005774A8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і</w:t>
            </w:r>
            <w:r w:rsidRPr="005774A8">
              <w:rPr>
                <w:rFonts w:ascii="Times New Roman" w:eastAsia="Times New Roman" w:hAnsi="Times New Roman" w:cs="Times New Roman"/>
                <w:b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5774A8">
              <w:rPr>
                <w:rFonts w:ascii="Times New Roman" w:eastAsia="Times New Roman" w:hAnsi="Times New Roman" w:cs="Times New Roman"/>
                <w:b/>
                <w:color w:val="auto"/>
                <w:lang w:val="ru-RU" w:eastAsia="ru-RU" w:bidi="ar-SA"/>
              </w:rPr>
              <w:t>діяльності</w:t>
            </w:r>
            <w:proofErr w:type="spellEnd"/>
            <w:r w:rsidRPr="005774A8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 xml:space="preserve"> головного розпорядника коштів місцевого бюджету та показники їх досягнення у 202</w:t>
            </w:r>
            <w:r w:rsidR="00E76DD7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3</w:t>
            </w:r>
            <w:r w:rsidRPr="005774A8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 xml:space="preserve"> році</w:t>
            </w:r>
          </w:p>
          <w:p w:rsidR="005774A8" w:rsidRPr="005774A8" w:rsidRDefault="005774A8" w:rsidP="005774A8">
            <w:pPr>
              <w:widowControl/>
              <w:ind w:firstLine="129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</w:p>
          <w:p w:rsidR="005774A8" w:rsidRPr="005774A8" w:rsidRDefault="005774A8" w:rsidP="005774A8">
            <w:pPr>
              <w:widowControl/>
              <w:ind w:firstLine="129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</w:p>
          <w:p w:rsidR="005774A8" w:rsidRPr="005774A8" w:rsidRDefault="005774A8" w:rsidP="005774A8">
            <w:pPr>
              <w:widowControl/>
              <w:ind w:firstLine="129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774A8" w:rsidRPr="005774A8" w:rsidTr="003236E5">
        <w:trPr>
          <w:trHeight w:hRule="exact" w:val="324"/>
          <w:jc w:val="center"/>
        </w:trPr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A8" w:rsidRPr="005774A8" w:rsidRDefault="005774A8" w:rsidP="005774A8">
            <w:pPr>
              <w:widowControl/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proofErr w:type="spellStart"/>
            <w:r w:rsidRPr="00577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A8" w:rsidRPr="005774A8" w:rsidRDefault="005774A8" w:rsidP="005774A8">
            <w:pPr>
              <w:widowControl/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proofErr w:type="spellStart"/>
            <w:r w:rsidRPr="00577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577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77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вимі</w:t>
            </w:r>
            <w:proofErr w:type="spellEnd"/>
            <w:r w:rsidRPr="00577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577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ру</w:t>
            </w:r>
            <w:proofErr w:type="spellEnd"/>
          </w:p>
        </w:tc>
        <w:tc>
          <w:tcPr>
            <w:tcW w:w="1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A8" w:rsidRPr="005774A8" w:rsidRDefault="005774A8" w:rsidP="005774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77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202</w:t>
            </w:r>
            <w:r w:rsidR="00E76D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</w:t>
            </w:r>
            <w:r w:rsidRPr="00577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рік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A8" w:rsidRPr="005774A8" w:rsidRDefault="005774A8" w:rsidP="005774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77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Пояснення щодо розбіжностей фактичними та плановими показниками досягнення цілі державної політики</w:t>
            </w:r>
          </w:p>
        </w:tc>
      </w:tr>
      <w:tr w:rsidR="005774A8" w:rsidRPr="005774A8" w:rsidTr="003236E5">
        <w:trPr>
          <w:trHeight w:hRule="exact" w:val="1119"/>
          <w:jc w:val="center"/>
        </w:trPr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A8" w:rsidRPr="005774A8" w:rsidRDefault="005774A8" w:rsidP="005774A8">
            <w:pPr>
              <w:widowControl/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A8" w:rsidRPr="005774A8" w:rsidRDefault="005774A8" w:rsidP="005774A8">
            <w:pPr>
              <w:widowControl/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A8" w:rsidRPr="005774A8" w:rsidRDefault="005774A8" w:rsidP="005774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77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план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A8" w:rsidRPr="005774A8" w:rsidRDefault="005774A8" w:rsidP="005774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77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факт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A8" w:rsidRPr="005774A8" w:rsidRDefault="005774A8" w:rsidP="005774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5774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відхилення фактичних показників від планових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A8" w:rsidRPr="005774A8" w:rsidRDefault="005774A8" w:rsidP="005774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eastAsia="ru-RU" w:bidi="ar-SA"/>
              </w:rPr>
            </w:pPr>
          </w:p>
        </w:tc>
      </w:tr>
      <w:tr w:rsidR="005774A8" w:rsidRPr="005774A8" w:rsidTr="003236E5">
        <w:trPr>
          <w:trHeight w:hRule="exact" w:val="304"/>
          <w:jc w:val="center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4A8" w:rsidRPr="005774A8" w:rsidRDefault="005774A8" w:rsidP="005774A8">
            <w:pPr>
              <w:widowControl/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A8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Забезпечення виконання наданих законодавством повноважень у сфері фінансів та бюджету</w:t>
            </w:r>
          </w:p>
        </w:tc>
      </w:tr>
      <w:tr w:rsidR="00E76DD7" w:rsidRPr="005774A8" w:rsidTr="003742CE">
        <w:trPr>
          <w:trHeight w:hRule="exact" w:val="131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6DD7" w:rsidRPr="00E76DD7" w:rsidRDefault="00E76DD7" w:rsidP="00E76D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6DD7">
              <w:rPr>
                <w:rFonts w:ascii="Times New Roman" w:hAnsi="Times New Roman" w:cs="Times New Roman"/>
                <w:sz w:val="16"/>
                <w:szCs w:val="16"/>
              </w:rPr>
              <w:t>Кількість підготовлених доповідних та службових записок, пропозицій, звернень, інформацій на завдання Департаменту фінансів ЧОДА, про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76DD7">
              <w:rPr>
                <w:rFonts w:ascii="Times New Roman" w:hAnsi="Times New Roman" w:cs="Times New Roman"/>
                <w:sz w:val="16"/>
                <w:szCs w:val="16"/>
              </w:rPr>
              <w:t>ктів рішень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6DD7" w:rsidRPr="00E76DD7" w:rsidRDefault="00E76DD7" w:rsidP="00E76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DD7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6DD7" w:rsidRPr="00E76DD7" w:rsidRDefault="00E76DD7" w:rsidP="00E76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DD7" w:rsidRPr="00E76DD7" w:rsidRDefault="00E76DD7" w:rsidP="00E76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DD7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  <w:p w:rsidR="00E76DD7" w:rsidRPr="00E76DD7" w:rsidRDefault="00E76DD7" w:rsidP="00E76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6DD7" w:rsidRPr="00E76DD7" w:rsidRDefault="00E76DD7" w:rsidP="00E76DD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DD7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6DD7" w:rsidRPr="00E76DD7" w:rsidRDefault="00E76DD7" w:rsidP="00E76DD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DD7">
              <w:rPr>
                <w:rFonts w:ascii="Times New Roman" w:hAnsi="Times New Roman" w:cs="Times New Roman"/>
                <w:sz w:val="16"/>
                <w:szCs w:val="16"/>
              </w:rPr>
              <w:t>-40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6DD7" w:rsidRDefault="00E76DD7" w:rsidP="00E76DD7">
            <w:pPr>
              <w:ind w:right="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DD7" w:rsidRDefault="00E76DD7" w:rsidP="00E76DD7">
            <w:pPr>
              <w:ind w:right="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DD7" w:rsidRPr="00E76DD7" w:rsidRDefault="00E76DD7" w:rsidP="00E76DD7">
            <w:pPr>
              <w:ind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E76DD7">
              <w:rPr>
                <w:rFonts w:ascii="Times New Roman" w:hAnsi="Times New Roman" w:cs="Times New Roman"/>
                <w:sz w:val="16"/>
                <w:szCs w:val="16"/>
              </w:rPr>
              <w:t>Відхилення пояснюється тим, що працівники фінансового відділу підготували менше на 40 листів та  інформації на звернення</w:t>
            </w:r>
          </w:p>
        </w:tc>
      </w:tr>
      <w:tr w:rsidR="00E76DD7" w:rsidRPr="005774A8" w:rsidTr="00E76DD7">
        <w:trPr>
          <w:trHeight w:hRule="exact" w:val="1168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6DD7" w:rsidRPr="00E76DD7" w:rsidRDefault="00E76DD7" w:rsidP="00E76D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6D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Кількість підготовлених довідок про зміни до річного та помісячного розпису асигнувань (за винятком надання кредитів з бюджету)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6DD7" w:rsidRPr="00E76DD7" w:rsidRDefault="00E76DD7" w:rsidP="00E76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DD7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6DD7" w:rsidRPr="00E76DD7" w:rsidRDefault="00E76DD7" w:rsidP="00E76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D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6DD7" w:rsidRPr="00E76DD7" w:rsidRDefault="00E76DD7" w:rsidP="00E76DD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DD7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6DD7" w:rsidRPr="00E76DD7" w:rsidRDefault="00E76DD7" w:rsidP="00E76DD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DD7">
              <w:rPr>
                <w:rFonts w:ascii="Times New Roman" w:hAnsi="Times New Roman" w:cs="Times New Roman"/>
                <w:sz w:val="16"/>
                <w:szCs w:val="16"/>
              </w:rPr>
              <w:t>-54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6DD7" w:rsidRPr="00E76DD7" w:rsidRDefault="00E76DD7" w:rsidP="00E76DD7">
            <w:pPr>
              <w:ind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E76DD7">
              <w:rPr>
                <w:rFonts w:ascii="Times New Roman" w:eastAsia="Arial" w:hAnsi="Times New Roman" w:cs="Times New Roman"/>
                <w:sz w:val="16"/>
                <w:szCs w:val="16"/>
              </w:rPr>
              <w:t>Відхилення пояснюється тим, що фактично протягом 2023 року підготовлено 146 довідок про зміни до річного та помісячного розпису асигнувань (за винятком  надання кредитів з бюджету)</w:t>
            </w:r>
          </w:p>
        </w:tc>
      </w:tr>
      <w:tr w:rsidR="00E76DD7" w:rsidRPr="005774A8" w:rsidTr="003236E5">
        <w:trPr>
          <w:trHeight w:hRule="exact" w:val="691"/>
          <w:jc w:val="center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6DD7" w:rsidRPr="005774A8" w:rsidRDefault="00E76DD7" w:rsidP="00E76DD7">
            <w:pPr>
              <w:widowControl/>
              <w:ind w:left="60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5774A8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Висновок про досягнення цілі </w:t>
            </w:r>
          </w:p>
        </w:tc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6DD7" w:rsidRPr="005774A8" w:rsidRDefault="00E76DD7" w:rsidP="00E76DD7">
            <w:pPr>
              <w:widowControl/>
              <w:ind w:righ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E76D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Дану ціль можна вважати досягнутою, оскільки у 2023 році забезпечено виконання наданих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 xml:space="preserve"> </w:t>
            </w:r>
            <w:r w:rsidRPr="00E76D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законодавством повноважень</w:t>
            </w:r>
          </w:p>
        </w:tc>
      </w:tr>
    </w:tbl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Протягом 202</w:t>
      </w:r>
      <w:r w:rsidR="00E76DD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року фінансовим відділом: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 підготовлено, винесено на розгляд сільської ради </w:t>
      </w:r>
      <w:r w:rsidR="00E0430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13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проектів рішень щодо внесення змін до бюджету громади на 202</w:t>
      </w:r>
      <w:r w:rsidR="00E0430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рік та 5 проектів рішень про затвердження звітів про виконання бюджету громади за 202</w:t>
      </w:r>
      <w:r w:rsidR="00E0430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рік та щоквартальних за І квартал, І півріччя, 9 місяців 202</w:t>
      </w:r>
      <w:r w:rsidR="00EA0E3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року, звіту головного розпорядника коштів за 202</w:t>
      </w:r>
      <w:r w:rsidR="00E0430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рік;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 підготовлено, винесено на розгляд виконавчого комітету сільської ради </w:t>
      </w:r>
      <w:r w:rsidR="00EA0E3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12 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проектів рішень щодо внесення змін до бюджету громади на 202</w:t>
      </w:r>
      <w:r w:rsidR="00EA0E3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рік та 5 проектів рішень про розгляд звітів про виконання бюджету громади за 202</w:t>
      </w:r>
      <w:r w:rsidR="00EA0E3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рік та щоквартальних за І квартал, І півріччя, 9 місяців 202</w:t>
      </w:r>
      <w:r w:rsidR="00EA0E3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року, звіту головного розпорядника коштів за 202</w:t>
      </w:r>
      <w:r w:rsidR="00EA0E3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рік;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 підготовлено та винесено на розгляд виконавчого комітету сільської ради </w:t>
      </w:r>
      <w:r w:rsidR="00EA0E3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4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EA0E3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проекти 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рішен</w:t>
      </w:r>
      <w:r w:rsidR="00EA0E3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ь на різну тематику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розроблена Інструкція з підготовки бюджетних запитів, опрацьовані бюджетні запити 2-х головних розпорядників з точки зору їх відповідності меті, пріоритетності, дієвості та ефективності використання бюджетних коштів;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своєчасно підготовлено та винесено на розгляд сільської ради проект рішення сільської ради «Про бюджет Степанківської сільської територіальної громади на 202</w:t>
      </w:r>
      <w:r w:rsidR="00EA0E3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4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рік» з пояснювальною запискою;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складено річний та помісячний розпис доходів, видатків і фінансування загального та спеціального фондів бюджету на 202</w:t>
      </w:r>
      <w:r w:rsidR="00EA0E3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рік,  розпис направлено управлінн</w:t>
      </w:r>
      <w:r w:rsidR="00EA0E3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ю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Державної казначейської служби України у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м.Черкасах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підготовлено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доведено до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головних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розпорядників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коштів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EA0E3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 w:bidi="ar-SA"/>
        </w:rPr>
        <w:t xml:space="preserve">28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лімітних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довідок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 202</w:t>
      </w:r>
      <w:r w:rsidR="00EA0E3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рік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на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підставі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рішень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про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внесення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змін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gram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 бюджету</w:t>
      </w:r>
      <w:proofErr w:type="gram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за 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зверненнями, листами, клопотаннями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головних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розпорядників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коштів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складено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E05D7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 w:bidi="ar-SA"/>
        </w:rPr>
        <w:t>200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довідок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про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внесення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змін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до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розпису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бюджету;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протягом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року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організована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робота по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затвердженню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паспортів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бюджетних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програм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 202</w:t>
      </w:r>
      <w:r w:rsidR="00CE05D7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 w:bidi="ar-SA"/>
        </w:rPr>
        <w:t>3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рік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опрацьовано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звіти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про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виконання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паспортів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бюджетних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програм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за 202</w:t>
      </w:r>
      <w:r w:rsidR="00CE05D7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 w:bidi="ar-SA"/>
        </w:rPr>
        <w:t>2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ік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розглянуто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погоджено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надані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органами,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контролюють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справляння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надходжень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бюджету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висновк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повернення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коштів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помилково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або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надміру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зарахованих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gram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 бюджету</w:t>
      </w:r>
      <w:proofErr w:type="gram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громади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- на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виконання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вимог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частини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другої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статті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111 Бюджетного кодексу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України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 метою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здійснення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контролю за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дотриманням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бюджетного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законодавства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фінансовим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відділом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проведено 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перевірки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головних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розпорядників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розпорядників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нижчого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рівня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одержувачів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бюджетних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коштів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щодо</w:t>
      </w:r>
      <w:proofErr w:type="spellEnd"/>
      <w:r w:rsidRPr="005774A8">
        <w:rPr>
          <w:rFonts w:ascii="Calibri" w:eastAsia="Calibri" w:hAnsi="Calibri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правильності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складання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затвердження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виконання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кошторисів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планів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використання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коштів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установами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і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організаціями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які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фінансуються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 бюджету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громади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по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галузях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КПКВКМБ 0100 "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Державне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управління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", 1000 "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Освіта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", 2000 "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Охорона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здоров’я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", 3000 "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Соціальний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захист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соціальне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забезпечення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", 4000 "Культура i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мистецтво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", 5000 "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Фiзична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культура i спорт", 6000 "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Житлово-комунальне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господарство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", 7000 "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Економічна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діяльність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", 8000 "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Інша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діяльність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", 9000 "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Міжбюджетні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трансферти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формування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мережі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розпорядників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одержувачів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бюджетних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коштів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дотримання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вимог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законодавства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щодо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формування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доходної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видаткової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частин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кошторису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загальним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спеціальним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фондами, у тому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числі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стосовно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відповідності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затверджених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кошторисі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сум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асигнувань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загального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фонду бюджету на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здійснення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видатків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або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надання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кредитів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 бюджету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граничним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обсягам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видатків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бюджету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із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загального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фонду,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доведеним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лімітною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довідкою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наявності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обґрунтованості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розрахунків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щодо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потреби в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бюджетних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асигнуваннях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загального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фонду бюджету на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здійснення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видатків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наявності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обґрунтованості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розрахунків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обсягу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видатків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спеціальним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фондом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кошторису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дотримання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визначених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законодавством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граничних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обсягів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витрат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окремі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види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товарів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також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дотримання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порядку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внесення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змін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до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кошторису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стану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виконання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кошторису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у тому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числі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відповідності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проведених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касових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видатків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затвердженим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обсягам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асигнувань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відповідності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використаних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бюджетних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коштів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їх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цільовому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призначенню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відповідності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обсягів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взятих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зобов’язань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розміру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бюджетних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асигнувань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затверджених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кошторисом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дотримання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бюджетного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законодавства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в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частині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забезпеченості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призначеннями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заробітної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плати з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нарахуваннями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розрахунки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комунальні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енергоносії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по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бюджетних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установах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тощо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за результатами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яких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складено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довідки </w:t>
      </w:r>
      <w:r w:rsidR="00CE05D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про перевірку 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та підготовлено листи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організована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робота по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складанню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звіту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bookmarkStart w:id="1" w:name="_Hlk158214945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по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мережі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штатах і контингентах та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пояснювальної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записки до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звіту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про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виконання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бюджету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громади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за 202</w:t>
      </w:r>
      <w:r w:rsidR="00CE05D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рік</w:t>
      </w:r>
      <w:bookmarkEnd w:id="1"/>
      <w:proofErr w:type="spellEnd"/>
      <w:r w:rsidR="006C5FE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плану </w:t>
      </w:r>
      <w:r w:rsidR="006C5FE1" w:rsidRPr="006C5FE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по </w:t>
      </w:r>
      <w:proofErr w:type="spellStart"/>
      <w:r w:rsidR="006C5FE1" w:rsidRPr="006C5FE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мережі</w:t>
      </w:r>
      <w:proofErr w:type="spellEnd"/>
      <w:r w:rsidR="006C5FE1" w:rsidRPr="006C5FE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штатах і контингентах </w:t>
      </w:r>
      <w:r w:rsidR="006C5FE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на </w:t>
      </w:r>
      <w:r w:rsidR="006C5FE1" w:rsidRPr="006C5FE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202</w:t>
      </w:r>
      <w:r w:rsidR="006C5FE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</w:t>
      </w:r>
      <w:r w:rsidR="006C5FE1" w:rsidRPr="006C5FE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6C5FE1" w:rsidRPr="006C5FE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рік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проведена робота по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складанню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зведення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щодо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чисельності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працівників та фонду оплати праці працівників установ, закладів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фінансуються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 бюджету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громади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 </w:t>
      </w:r>
      <w:r w:rsidR="006C5FE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01.01.2023року та 01.07.2023 року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для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подання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до Департаменту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фінансів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ОДА;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на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виконання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вимог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статті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28 Бюджетного кодексу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України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: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підготовлена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публічно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представлена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інформація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про бюджет за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бюджетними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програмами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за 202</w:t>
      </w:r>
      <w:r w:rsidR="006C5FE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рік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забезпечено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4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публікації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про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виконання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бюджету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громади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(за 202</w:t>
      </w:r>
      <w:r w:rsidR="006C5FE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ік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щокварталу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202</w:t>
      </w:r>
      <w:r w:rsidR="006C5FE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року) 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на офіційному сайті громади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протягом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року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матеріали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щодо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виконання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бюджету 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щомісячно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висвітлювалися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 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офіційному сайті громади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з метою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підвищення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прозорості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місцевого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бюджету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розроблено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та оприлюднено на офіційному сайті громади інформаційна листівка 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«Бюджет для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громадян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»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-202</w:t>
      </w:r>
      <w:r w:rsidR="00A9062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5774A8" w:rsidRPr="005774A8" w:rsidRDefault="005774A8" w:rsidP="00A90625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протягом 202</w:t>
      </w:r>
      <w:r w:rsidR="00A906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року велась робота</w:t>
      </w:r>
      <w:r w:rsidR="00A906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щодо напрацювання проектів документів щодо впровадження системи внутрішнього контролю в громаді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 рамках спільного проекту з Регіональним офісом «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 w:bidi="ar-SA"/>
        </w:rPr>
        <w:t>U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 w:bidi="ar-SA"/>
        </w:rPr>
        <w:t>LEAD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 Європою» та експертами Інституту бюджету та соціально-економічних досліджен</w:t>
      </w:r>
      <w:r w:rsidR="0019492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ь.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4"/>
          <w:szCs w:val="14"/>
          <w:lang w:eastAsia="ru-RU" w:bidi="ar-SA"/>
        </w:rPr>
      </w:pPr>
    </w:p>
    <w:p w:rsidR="0019492A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Також протягом 202</w:t>
      </w:r>
      <w:r w:rsidR="0019492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року працівники відділу підвищували кваліфікацію завдяки участі у більш ніж 4</w:t>
      </w:r>
      <w:r w:rsidR="0019492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0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навчальних заходах та семінарах організованих Черкаським регіональним центром підвищення кваліфікації та Регіональним офісом «U-LEAD з Європою» у Черкаській області, у рамках навчальної програми «Кроки для </w:t>
      </w:r>
      <w:r w:rsidR="0019492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спеціалістів. План бюджетної стабілізації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» працівники відділу приймали участь у підготовці навчального семінару</w:t>
      </w:r>
      <w:r w:rsidR="0019492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та презентації практик Степанківської територіальної громади у сфері управління фінансами</w:t>
      </w:r>
      <w:r w:rsidR="00FE0F2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19492A" w:rsidRDefault="0019492A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5774A8" w:rsidRPr="005774A8" w:rsidRDefault="005774A8" w:rsidP="005774A8">
      <w:pPr>
        <w:widowControl/>
        <w:tabs>
          <w:tab w:val="left" w:pos="426"/>
        </w:tabs>
        <w:spacing w:after="160" w:line="259" w:lineRule="auto"/>
        <w:ind w:firstLine="567"/>
        <w:contextualSpacing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774A8">
        <w:rPr>
          <w:rFonts w:ascii="Times New Roman" w:eastAsia="Calibri" w:hAnsi="Times New Roman" w:cs="Times New Roman"/>
          <w:color w:val="auto"/>
          <w:lang w:eastAsia="en-US" w:bidi="ar-SA"/>
        </w:rPr>
        <w:t xml:space="preserve">Довідка. </w:t>
      </w:r>
      <w:r w:rsidR="00940243">
        <w:rPr>
          <w:rFonts w:ascii="Times New Roman" w:eastAsia="Calibri" w:hAnsi="Times New Roman" w:cs="Times New Roman"/>
          <w:color w:val="auto"/>
          <w:lang w:eastAsia="en-US" w:bidi="ar-SA"/>
        </w:rPr>
        <w:t>00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.0</w:t>
      </w:r>
      <w:r w:rsidR="00940243">
        <w:rPr>
          <w:rFonts w:ascii="Times New Roman" w:eastAsia="Calibri" w:hAnsi="Times New Roman" w:cs="Times New Roman"/>
          <w:color w:val="auto"/>
          <w:lang w:eastAsia="en-US" w:bidi="ar-SA"/>
        </w:rPr>
        <w:t>0</w:t>
      </w:r>
      <w:r w:rsidRPr="005774A8">
        <w:rPr>
          <w:rFonts w:ascii="Times New Roman" w:eastAsia="Calibri" w:hAnsi="Times New Roman" w:cs="Times New Roman"/>
          <w:color w:val="auto"/>
          <w:lang w:eastAsia="en-US" w:bidi="ar-SA"/>
        </w:rPr>
        <w:t>.202</w:t>
      </w:r>
      <w:r w:rsidR="00940243">
        <w:rPr>
          <w:rFonts w:ascii="Times New Roman" w:eastAsia="Calibri" w:hAnsi="Times New Roman" w:cs="Times New Roman"/>
          <w:color w:val="auto"/>
          <w:lang w:eastAsia="en-US" w:bidi="ar-SA"/>
        </w:rPr>
        <w:t xml:space="preserve">4 </w:t>
      </w:r>
      <w:r w:rsidRPr="005774A8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року о </w:t>
      </w:r>
      <w:r w:rsidR="00940243">
        <w:rPr>
          <w:rFonts w:ascii="Times New Roman" w:eastAsia="Calibri" w:hAnsi="Times New Roman" w:cs="Times New Roman"/>
          <w:color w:val="auto"/>
          <w:lang w:eastAsia="en-US" w:bidi="ar-SA"/>
        </w:rPr>
        <w:t>00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.00</w:t>
      </w:r>
      <w:r w:rsidRPr="005774A8">
        <w:rPr>
          <w:rFonts w:ascii="Times New Roman" w:eastAsia="Calibri" w:hAnsi="Times New Roman" w:cs="Times New Roman"/>
          <w:color w:val="auto"/>
          <w:lang w:eastAsia="en-US" w:bidi="ar-SA"/>
        </w:rPr>
        <w:t xml:space="preserve"> у приміщенні сільської ради, вул. Героїв України, 124, </w:t>
      </w:r>
      <w:proofErr w:type="spellStart"/>
      <w:r w:rsidRPr="005774A8">
        <w:rPr>
          <w:rFonts w:ascii="Times New Roman" w:eastAsia="Calibri" w:hAnsi="Times New Roman" w:cs="Times New Roman"/>
          <w:color w:val="auto"/>
          <w:lang w:eastAsia="en-US" w:bidi="ar-SA"/>
        </w:rPr>
        <w:t>с.Степанки</w:t>
      </w:r>
      <w:proofErr w:type="spellEnd"/>
      <w:r w:rsidRPr="005774A8">
        <w:rPr>
          <w:rFonts w:ascii="Times New Roman" w:eastAsia="Calibri" w:hAnsi="Times New Roman" w:cs="Times New Roman"/>
          <w:color w:val="auto"/>
          <w:lang w:eastAsia="en-US" w:bidi="ar-SA"/>
        </w:rPr>
        <w:t>, планується публічне представлення звіту головного розпорядника бюджетних коштів - Фінансового відділу Степанківської сільської ради.</w:t>
      </w:r>
    </w:p>
    <w:p w:rsidR="005774A8" w:rsidRPr="005774A8" w:rsidRDefault="005774A8" w:rsidP="005774A8">
      <w:pPr>
        <w:widowControl/>
        <w:tabs>
          <w:tab w:val="left" w:pos="426"/>
        </w:tabs>
        <w:spacing w:after="160" w:line="259" w:lineRule="auto"/>
        <w:ind w:left="142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774A8" w:rsidRPr="005774A8" w:rsidRDefault="005774A8" w:rsidP="005774A8">
      <w:pPr>
        <w:widowControl/>
        <w:tabs>
          <w:tab w:val="left" w:pos="426"/>
        </w:tabs>
        <w:spacing w:after="160" w:line="259" w:lineRule="auto"/>
        <w:ind w:left="142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774A8" w:rsidRPr="005774A8" w:rsidRDefault="005774A8" w:rsidP="005774A8">
      <w:pPr>
        <w:widowControl/>
        <w:tabs>
          <w:tab w:val="left" w:pos="426"/>
        </w:tabs>
        <w:spacing w:after="160" w:line="259" w:lineRule="auto"/>
        <w:ind w:left="142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Начальник фінансового відділу                                            Тамара ОВЧАРЕНКО</w:t>
      </w:r>
    </w:p>
    <w:p w:rsidR="005774A8" w:rsidRPr="00F722CB" w:rsidRDefault="005774A8" w:rsidP="005774A8">
      <w:pPr>
        <w:widowControl/>
        <w:tabs>
          <w:tab w:val="left" w:pos="6945"/>
        </w:tabs>
        <w:ind w:firstLine="6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5774A8" w:rsidRDefault="005774A8" w:rsidP="00F722CB">
      <w:pPr>
        <w:widowControl/>
        <w:tabs>
          <w:tab w:val="left" w:pos="6945"/>
        </w:tabs>
        <w:ind w:firstLine="6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5774A8" w:rsidRDefault="005774A8" w:rsidP="00F722CB">
      <w:pPr>
        <w:widowControl/>
        <w:tabs>
          <w:tab w:val="left" w:pos="6945"/>
        </w:tabs>
        <w:ind w:firstLine="6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5774A8" w:rsidRDefault="005774A8" w:rsidP="00F722CB">
      <w:pPr>
        <w:widowControl/>
        <w:tabs>
          <w:tab w:val="left" w:pos="6945"/>
        </w:tabs>
        <w:ind w:firstLine="6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5774A8" w:rsidRDefault="005774A8" w:rsidP="00F722CB">
      <w:pPr>
        <w:widowControl/>
        <w:tabs>
          <w:tab w:val="left" w:pos="6945"/>
        </w:tabs>
        <w:ind w:firstLine="6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5774A8" w:rsidRDefault="005774A8" w:rsidP="00F722CB">
      <w:pPr>
        <w:widowControl/>
        <w:tabs>
          <w:tab w:val="left" w:pos="6945"/>
        </w:tabs>
        <w:ind w:firstLine="6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5774A8" w:rsidRDefault="005774A8" w:rsidP="00F722CB">
      <w:pPr>
        <w:widowControl/>
        <w:tabs>
          <w:tab w:val="left" w:pos="6945"/>
        </w:tabs>
        <w:ind w:firstLine="6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5774A8" w:rsidRDefault="005774A8" w:rsidP="00F722CB">
      <w:pPr>
        <w:widowControl/>
        <w:tabs>
          <w:tab w:val="left" w:pos="6945"/>
        </w:tabs>
        <w:ind w:firstLine="6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5774A8" w:rsidRDefault="005774A8" w:rsidP="00F722CB">
      <w:pPr>
        <w:widowControl/>
        <w:tabs>
          <w:tab w:val="left" w:pos="6945"/>
        </w:tabs>
        <w:ind w:firstLine="6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5774A8" w:rsidRDefault="005774A8" w:rsidP="00FE0F23">
      <w:pPr>
        <w:widowControl/>
        <w:tabs>
          <w:tab w:val="left" w:pos="6945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bookmarkStart w:id="2" w:name="_GoBack"/>
      <w:bookmarkEnd w:id="2"/>
    </w:p>
    <w:p w:rsidR="005774A8" w:rsidRDefault="005774A8" w:rsidP="00F722CB">
      <w:pPr>
        <w:widowControl/>
        <w:tabs>
          <w:tab w:val="left" w:pos="6945"/>
        </w:tabs>
        <w:ind w:firstLine="6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5774A8" w:rsidRDefault="005774A8" w:rsidP="00940243">
      <w:pPr>
        <w:widowControl/>
        <w:tabs>
          <w:tab w:val="left" w:pos="6945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sectPr w:rsidR="005774A8" w:rsidSect="008A0588">
      <w:pgSz w:w="11909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0E6E" w:rsidRDefault="00D90E6E">
      <w:r>
        <w:separator/>
      </w:r>
    </w:p>
  </w:endnote>
  <w:endnote w:type="continuationSeparator" w:id="0">
    <w:p w:rsidR="00D90E6E" w:rsidRDefault="00D9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0E6E" w:rsidRDefault="00D90E6E"/>
  </w:footnote>
  <w:footnote w:type="continuationSeparator" w:id="0">
    <w:p w:rsidR="00D90E6E" w:rsidRDefault="00D90E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0BFC"/>
    <w:multiLevelType w:val="multilevel"/>
    <w:tmpl w:val="081A4266"/>
    <w:lvl w:ilvl="0">
      <w:numFmt w:val="decimal"/>
      <w:lvlText w:val="6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9D49F2"/>
    <w:multiLevelType w:val="multilevel"/>
    <w:tmpl w:val="175C7DA8"/>
    <w:lvl w:ilvl="0">
      <w:numFmt w:val="decimal"/>
      <w:lvlText w:val="2087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E43A42"/>
    <w:multiLevelType w:val="multilevel"/>
    <w:tmpl w:val="5DF03F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ED302B"/>
    <w:multiLevelType w:val="multilevel"/>
    <w:tmpl w:val="236E9BDE"/>
    <w:lvl w:ilvl="0">
      <w:numFmt w:val="decimal"/>
      <w:lvlText w:val="614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440261"/>
    <w:multiLevelType w:val="multilevel"/>
    <w:tmpl w:val="C66A7504"/>
    <w:lvl w:ilvl="0">
      <w:numFmt w:val="decimal"/>
      <w:lvlText w:val="80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A74E56"/>
    <w:multiLevelType w:val="multilevel"/>
    <w:tmpl w:val="FF0E651E"/>
    <w:lvl w:ilvl="0">
      <w:numFmt w:val="decimal"/>
      <w:lvlText w:val="196503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485D7E"/>
    <w:multiLevelType w:val="multilevel"/>
    <w:tmpl w:val="E9285256"/>
    <w:lvl w:ilvl="0">
      <w:numFmt w:val="decimal"/>
      <w:lvlText w:val="33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197EEA"/>
    <w:multiLevelType w:val="multilevel"/>
    <w:tmpl w:val="611CCA56"/>
    <w:lvl w:ilvl="0">
      <w:numFmt w:val="decimal"/>
      <w:lvlText w:val="11052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289"/>
    <w:rsid w:val="00034D13"/>
    <w:rsid w:val="000877FE"/>
    <w:rsid w:val="000A14DC"/>
    <w:rsid w:val="000A4CD1"/>
    <w:rsid w:val="000B47A2"/>
    <w:rsid w:val="0019492A"/>
    <w:rsid w:val="001C4863"/>
    <w:rsid w:val="001F2BE2"/>
    <w:rsid w:val="00211F45"/>
    <w:rsid w:val="00242C84"/>
    <w:rsid w:val="00284CBC"/>
    <w:rsid w:val="002A2E7B"/>
    <w:rsid w:val="002C34AE"/>
    <w:rsid w:val="002E4DBB"/>
    <w:rsid w:val="002F7A89"/>
    <w:rsid w:val="003073F7"/>
    <w:rsid w:val="00326A97"/>
    <w:rsid w:val="00327474"/>
    <w:rsid w:val="00335923"/>
    <w:rsid w:val="00352BD6"/>
    <w:rsid w:val="003742CE"/>
    <w:rsid w:val="003A7224"/>
    <w:rsid w:val="003B58CC"/>
    <w:rsid w:val="003D418A"/>
    <w:rsid w:val="003F4A52"/>
    <w:rsid w:val="0041113F"/>
    <w:rsid w:val="00477C76"/>
    <w:rsid w:val="00497297"/>
    <w:rsid w:val="004D7289"/>
    <w:rsid w:val="00536E5C"/>
    <w:rsid w:val="005774A8"/>
    <w:rsid w:val="005A51D0"/>
    <w:rsid w:val="005F3EDF"/>
    <w:rsid w:val="005F6440"/>
    <w:rsid w:val="00651880"/>
    <w:rsid w:val="00653492"/>
    <w:rsid w:val="006A67A0"/>
    <w:rsid w:val="006C5FE1"/>
    <w:rsid w:val="00711760"/>
    <w:rsid w:val="00727340"/>
    <w:rsid w:val="00755AC2"/>
    <w:rsid w:val="00782146"/>
    <w:rsid w:val="007D45E9"/>
    <w:rsid w:val="007E5C52"/>
    <w:rsid w:val="00833874"/>
    <w:rsid w:val="00840593"/>
    <w:rsid w:val="00863437"/>
    <w:rsid w:val="00874174"/>
    <w:rsid w:val="008A0588"/>
    <w:rsid w:val="008B6F05"/>
    <w:rsid w:val="008D6547"/>
    <w:rsid w:val="00940243"/>
    <w:rsid w:val="009639CA"/>
    <w:rsid w:val="009B33B2"/>
    <w:rsid w:val="009C6C2A"/>
    <w:rsid w:val="009E53CF"/>
    <w:rsid w:val="00A47E58"/>
    <w:rsid w:val="00A90625"/>
    <w:rsid w:val="00A947C6"/>
    <w:rsid w:val="00AE0DA7"/>
    <w:rsid w:val="00AE4CFC"/>
    <w:rsid w:val="00B474F1"/>
    <w:rsid w:val="00BE6C04"/>
    <w:rsid w:val="00BF3860"/>
    <w:rsid w:val="00BF78A1"/>
    <w:rsid w:val="00C75602"/>
    <w:rsid w:val="00CC7FC0"/>
    <w:rsid w:val="00CE05D7"/>
    <w:rsid w:val="00D460CF"/>
    <w:rsid w:val="00D90E6E"/>
    <w:rsid w:val="00DA69C5"/>
    <w:rsid w:val="00DE7ABE"/>
    <w:rsid w:val="00E04308"/>
    <w:rsid w:val="00E36B76"/>
    <w:rsid w:val="00E405DB"/>
    <w:rsid w:val="00E40789"/>
    <w:rsid w:val="00E76DD7"/>
    <w:rsid w:val="00E93543"/>
    <w:rsid w:val="00EA0E36"/>
    <w:rsid w:val="00F5455D"/>
    <w:rsid w:val="00F722CB"/>
    <w:rsid w:val="00FB32F5"/>
    <w:rsid w:val="00FC7E5C"/>
    <w:rsid w:val="00FE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C3CD"/>
  <w15:docId w15:val="{1934ACAE-DE30-4DFC-B5C0-81B6A52E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2pt">
    <w:name w:val="Body text (2)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Bodytext2Arial65pt">
    <w:name w:val="Body text (2) + Arial;6;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Bodytext25ptBold">
    <w:name w:val="Body text (2) + 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Bodytext2Arial65ptBold">
    <w:name w:val="Body text (2) + Arial;6;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Bodytext25ptItalic">
    <w:name w:val="Body text (2) + 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Bodytext255pt">
    <w:name w:val="Body text (2) + 5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46" w:lineRule="exact"/>
      <w:ind w:hanging="6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93" w:lineRule="exac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7417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74174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39"/>
    <w:rsid w:val="005774A8"/>
    <w:pPr>
      <w:widowControl/>
    </w:pPr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94BCD-96C9-465E-A91D-78789417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7371</Words>
  <Characters>4203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Адмін</cp:lastModifiedBy>
  <cp:revision>2</cp:revision>
  <cp:lastPrinted>2023-02-17T06:32:00Z</cp:lastPrinted>
  <dcterms:created xsi:type="dcterms:W3CDTF">2024-02-07T14:34:00Z</dcterms:created>
  <dcterms:modified xsi:type="dcterms:W3CDTF">2024-02-07T14:34:00Z</dcterms:modified>
</cp:coreProperties>
</file>