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46BE" w:rsidRDefault="00B046BE" w:rsidP="00B046BE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Додаток </w:t>
      </w:r>
    </w:p>
    <w:p w:rsidR="00B046BE" w:rsidRDefault="00B046BE" w:rsidP="00B046BE">
      <w:pPr>
        <w:pStyle w:val="ac"/>
        <w:ind w:left="4956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до проекту рішення сільської ради</w:t>
      </w:r>
    </w:p>
    <w:p w:rsidR="00B046BE" w:rsidRDefault="00B046BE" w:rsidP="00B046BE">
      <w:pPr>
        <w:pStyle w:val="ac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від 15.11.2024 №59-03/VІІІ</w:t>
      </w:r>
    </w:p>
    <w:p w:rsidR="00B046BE" w:rsidRDefault="00B046BE" w:rsidP="00B046BE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B046BE" w:rsidRDefault="00B046BE" w:rsidP="00B046B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uk-UA" w:eastAsia="uk-UA"/>
        </w:rPr>
        <w:t>ЗАХОДИ</w:t>
      </w:r>
    </w:p>
    <w:p w:rsidR="00B046BE" w:rsidRDefault="00B046BE" w:rsidP="00B046B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підтримки  та організації надання шефської допомоги в/ч </w:t>
      </w:r>
      <w:r w:rsidR="00DC130A">
        <w:rPr>
          <w:rFonts w:ascii="Times New Roman" w:hAnsi="Times New Roman"/>
          <w:sz w:val="28"/>
          <w:szCs w:val="24"/>
          <w:lang w:val="uk-UA" w:eastAsia="uk-UA"/>
        </w:rPr>
        <w:t>** ****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на 2024 рік</w:t>
      </w:r>
    </w:p>
    <w:p w:rsidR="00B046BE" w:rsidRDefault="00B046BE" w:rsidP="00B046BE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tbl>
      <w:tblPr>
        <w:tblStyle w:val="af"/>
        <w:tblW w:w="14715" w:type="dxa"/>
        <w:tblLayout w:type="fixed"/>
        <w:tblLook w:val="04A0" w:firstRow="1" w:lastRow="0" w:firstColumn="1" w:lastColumn="0" w:noHBand="0" w:noVBand="1"/>
      </w:tblPr>
      <w:tblGrid>
        <w:gridCol w:w="543"/>
        <w:gridCol w:w="2400"/>
        <w:gridCol w:w="2977"/>
        <w:gridCol w:w="851"/>
        <w:gridCol w:w="2976"/>
        <w:gridCol w:w="2557"/>
        <w:gridCol w:w="2411"/>
      </w:tblGrid>
      <w:tr w:rsidR="00B046BE" w:rsidTr="00893674">
        <w:trPr>
          <w:trHeight w:val="88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 w:eastAsia="uk-UA" w:bidi="uk-UA"/>
              </w:rPr>
              <w:t>Напрями діяльності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 w:eastAsia="uk-UA" w:bidi="uk-UA"/>
              </w:rPr>
              <w:t>Перелік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left="113" w:right="113" w:firstLine="0"/>
              <w:rPr>
                <w:b/>
                <w:sz w:val="24"/>
                <w:szCs w:val="24"/>
                <w:lang w:val="uk-UA" w:eastAsia="uk-UA" w:bidi="uk-UA"/>
              </w:rPr>
            </w:pPr>
            <w:r>
              <w:rPr>
                <w:b/>
                <w:sz w:val="24"/>
                <w:szCs w:val="24"/>
                <w:lang w:val="uk-UA" w:eastAsia="uk-UA" w:bidi="uk-UA"/>
              </w:rPr>
              <w:t xml:space="preserve">Строк 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left="113" w:right="113" w:firstLine="0"/>
              <w:rPr>
                <w:b/>
                <w:sz w:val="24"/>
                <w:szCs w:val="24"/>
                <w:lang w:val="uk-UA" w:eastAsia="uk-UA" w:bidi="uk-UA"/>
              </w:rPr>
            </w:pPr>
            <w:r>
              <w:rPr>
                <w:b/>
                <w:sz w:val="24"/>
                <w:szCs w:val="24"/>
                <w:lang w:val="uk-UA" w:eastAsia="uk-UA" w:bidi="uk-UA"/>
              </w:rPr>
              <w:t xml:space="preserve">виконання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 w:eastAsia="uk-UA" w:bidi="uk-UA"/>
              </w:rPr>
              <w:t>Виконавці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 w:eastAsia="uk-UA" w:bidi="uk-UA"/>
              </w:rPr>
              <w:t>Джерела фінансування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 w:eastAsia="uk-UA" w:bidi="uk-UA"/>
              </w:rPr>
              <w:t>Очікувані результати</w:t>
            </w:r>
          </w:p>
        </w:tc>
      </w:tr>
      <w:tr w:rsidR="00B046BE" w:rsidTr="00893674">
        <w:trPr>
          <w:trHeight w:hRule="exact" w:val="65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46BE" w:rsidTr="00893674">
        <w:trPr>
          <w:cantSplit/>
          <w:trHeight w:hRule="exact" w:val="35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умов функціонування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</w:pPr>
            <w:r>
              <w:rPr>
                <w:sz w:val="24"/>
                <w:szCs w:val="24"/>
                <w:lang w:val="uk-UA" w:eastAsia="uk-UA" w:bidi="uk-UA"/>
              </w:rPr>
              <w:t>Забезпечення перевезення особового складу до місць виконання практичних дій, в тому числі придбання паливно- мастильних матеріалів, технічних рідин, супутнього обладнання та інструментів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left="113" w:right="113" w:firstLine="0"/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DC130A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Створення необхідних умов для перевезення особового складу до місць призначення або виконання завдань</w:t>
            </w:r>
          </w:p>
        </w:tc>
      </w:tr>
      <w:tr w:rsidR="00B046BE" w:rsidTr="00893674">
        <w:trPr>
          <w:cantSplit/>
          <w:trHeight w:hRule="exact" w:val="35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Підготовка приміщень до виконання завдань за призначенням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Проведення ремонту приміщень, укомплектування приміщень (обладнання кімнат зберігання зброї, спальних приміщень для особового складу, робочих місць,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їдалень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>) та придбання необхідного інвентарю (робочих столів, стільців, побутової техніки та інших необхідних меблів тощо)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46BE" w:rsidRDefault="00B046BE" w:rsidP="0089367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DC130A">
              <w:rPr>
                <w:sz w:val="24"/>
                <w:szCs w:val="24"/>
                <w:lang w:val="uk-UA" w:eastAsia="uk-UA" w:bidi="uk-UA"/>
              </w:rPr>
              <w:t>** 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Створення необхідних умов для функціонування підрозділу</w:t>
            </w:r>
          </w:p>
        </w:tc>
      </w:tr>
      <w:tr w:rsidR="00B046BE" w:rsidTr="00893674">
        <w:trPr>
          <w:cantSplit/>
          <w:trHeight w:hRule="exact" w:val="41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Облаштування робочих місць для виконання завдань за призначенням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Обладнання робочих місць структурних підрозділів: забезпечення оргтехнікою (ноутбуки, принтери, к</w:t>
            </w:r>
            <w:r>
              <w:rPr>
                <w:sz w:val="24"/>
                <w:szCs w:val="24"/>
                <w:lang w:val="uk-UA"/>
              </w:rPr>
              <w:t xml:space="preserve">омп’ютери, планшети, монітори, телевізор, проектори, </w:t>
            </w:r>
            <w:proofErr w:type="spellStart"/>
            <w:r>
              <w:rPr>
                <w:sz w:val="24"/>
                <w:szCs w:val="24"/>
                <w:lang w:val="uk-UA"/>
              </w:rPr>
              <w:t>роутери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кабель мультимедійний, послуги по заправці та ремонту картриджів) </w:t>
            </w:r>
            <w:r>
              <w:rPr>
                <w:sz w:val="24"/>
                <w:szCs w:val="24"/>
                <w:lang w:val="uk-UA" w:eastAsia="uk-UA" w:bidi="uk-UA"/>
              </w:rPr>
              <w:t>канцелярським приладдям та іншим необхідним майном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46BE" w:rsidRDefault="00B046BE" w:rsidP="0089367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DC130A">
              <w:rPr>
                <w:sz w:val="24"/>
                <w:szCs w:val="24"/>
                <w:lang w:val="uk-UA" w:eastAsia="uk-UA" w:bidi="uk-UA"/>
              </w:rPr>
              <w:t>** 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Своєчасне виконання поставлений завдань</w:t>
            </w:r>
          </w:p>
        </w:tc>
      </w:tr>
      <w:tr w:rsidR="00B046BE" w:rsidTr="00893674">
        <w:trPr>
          <w:cantSplit/>
          <w:trHeight w:hRule="exact" w:val="31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особового складу засобами захисту та зв’язку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Придбання військового спорядження, 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тепловізорів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, (касок, бронежилетів,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квадрокоптерів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>,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розгрузочних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жилетів, засобів індивідуального захисту, спальників, наметів, засобів зв’язку, зарядних станцій тощо) для потреб підрозділів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46BE" w:rsidRDefault="00B046BE" w:rsidP="00893674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DC130A">
              <w:rPr>
                <w:sz w:val="24"/>
                <w:szCs w:val="24"/>
                <w:lang w:val="uk-UA" w:eastAsia="uk-UA" w:bidi="uk-UA"/>
              </w:rPr>
              <w:t>** 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Підвищення безпеки та захисту особового складу</w:t>
            </w:r>
          </w:p>
        </w:tc>
      </w:tr>
      <w:tr w:rsidR="00B046BE" w:rsidTr="00893674">
        <w:trPr>
          <w:cantSplit/>
          <w:trHeight w:hRule="exact" w:val="26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/>
              </w:rPr>
              <w:t>Забезпечення життєдіяльності під час відключення електропостачання об’єктів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BE" w:rsidRDefault="00B046BE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бензинових і електричних інструментів та агрегатів живлення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46BE" w:rsidRDefault="00B046BE" w:rsidP="00893674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DC130A">
              <w:rPr>
                <w:sz w:val="24"/>
                <w:szCs w:val="24"/>
                <w:lang w:val="uk-UA" w:eastAsia="uk-UA" w:bidi="uk-UA"/>
              </w:rPr>
              <w:t>** 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приміщень та пункту управління електрикою</w:t>
            </w:r>
          </w:p>
        </w:tc>
      </w:tr>
      <w:tr w:rsidR="00B046BE" w:rsidTr="00893674">
        <w:trPr>
          <w:cantSplit/>
          <w:trHeight w:hRule="exact" w:val="44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</w:p>
          <w:p w:rsidR="00B046BE" w:rsidRDefault="00B046BE" w:rsidP="0089367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підготовки автомобільної техніки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запасних частин до легкових та вантажних автомобілів, автомобільних дисків, акумуляторів та супутнього обладнання до автомобілів, інструментів, домкратів, тросів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буксирувальних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балонних  ключів,  знаків аварійної зупинки. Проведення поточного ремонту легкових та вантажних автомобілів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46BE" w:rsidRDefault="00B046BE" w:rsidP="00893674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DC130A">
              <w:rPr>
                <w:sz w:val="24"/>
                <w:szCs w:val="24"/>
                <w:lang w:val="uk-UA" w:eastAsia="uk-UA" w:bidi="uk-UA"/>
              </w:rPr>
              <w:t>** 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BE" w:rsidRDefault="00B046BE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Забезпечення виконання завдань з обладнання автомобільної техніки в/ч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</w:tr>
      <w:tr w:rsidR="00B046BE" w:rsidTr="00893674">
        <w:trPr>
          <w:cantSplit/>
          <w:trHeight w:hRule="exact" w:val="31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7.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підвищення боєздатності</w:t>
            </w:r>
          </w:p>
          <w:p w:rsidR="00B046BE" w:rsidRDefault="00B046BE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особового складу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Закупівля, модернізація та ремонт озброєння, військової (спеціальної) техніки, засобів та обладнання, придбання акумуляторів, закупівля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та комплектуючих до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46BE" w:rsidRDefault="00B046BE" w:rsidP="008936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DC130A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Кошти місцевого бюджету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територіальної громади 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BE" w:rsidRDefault="00B046BE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Підвищення боєздатності</w:t>
            </w:r>
          </w:p>
          <w:p w:rsidR="00B046BE" w:rsidRDefault="00B046BE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підрозділів</w:t>
            </w:r>
          </w:p>
        </w:tc>
      </w:tr>
    </w:tbl>
    <w:p w:rsidR="00B046BE" w:rsidRDefault="00B046BE" w:rsidP="00B046BE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B046BE" w:rsidRDefault="00B046BE" w:rsidP="00B046BE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B046BE" w:rsidRDefault="00B046BE" w:rsidP="00B046BE">
      <w:pPr>
        <w:pStyle w:val="ac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Секретар сільської ради </w:t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Інна НЕВГОД</w:t>
      </w:r>
    </w:p>
    <w:p w:rsidR="00B046BE" w:rsidRDefault="00B046BE"/>
    <w:sectPr w:rsidR="00B046BE" w:rsidSect="00B046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BE"/>
    <w:rsid w:val="00B046BE"/>
    <w:rsid w:val="00B63C45"/>
    <w:rsid w:val="00DC130A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E848402-390B-6443-BDDA-A2DBB326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6BE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46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6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6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6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6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6B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6B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6B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6B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4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4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46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46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46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46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46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46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4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04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6B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04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46B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046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46BE"/>
    <w:pPr>
      <w:spacing w:after="160"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B046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4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046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46BE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046B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customStyle="1" w:styleId="ad">
    <w:name w:val="Інше_"/>
    <w:basedOn w:val="a0"/>
    <w:link w:val="ae"/>
    <w:locked/>
    <w:rsid w:val="00B046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Інше"/>
    <w:basedOn w:val="a"/>
    <w:link w:val="ad"/>
    <w:rsid w:val="00B046BE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/>
      <w14:ligatures w14:val="standardContextual"/>
    </w:rPr>
  </w:style>
  <w:style w:type="table" w:styleId="af">
    <w:name w:val="Table Grid"/>
    <w:basedOn w:val="a1"/>
    <w:uiPriority w:val="59"/>
    <w:rsid w:val="00B046BE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2025-02-26T08:21:00Z</dcterms:created>
  <dcterms:modified xsi:type="dcterms:W3CDTF">2025-03-03T10:18:00Z</dcterms:modified>
</cp:coreProperties>
</file>