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201C" w:rsidRPr="00E5793A" w:rsidRDefault="00F4201C" w:rsidP="00F4201C">
      <w:pPr>
        <w:ind w:left="4248" w:firstLine="708"/>
        <w:jc w:val="right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 xml:space="preserve">Додаток </w:t>
      </w:r>
    </w:p>
    <w:p w:rsidR="00F4201C" w:rsidRPr="00E5793A" w:rsidRDefault="00F4201C" w:rsidP="00F4201C">
      <w:pPr>
        <w:ind w:left="4956"/>
        <w:jc w:val="right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>д</w:t>
      </w:r>
      <w:r w:rsidRPr="00E5793A">
        <w:rPr>
          <w:sz w:val="24"/>
          <w:szCs w:val="28"/>
          <w:lang w:eastAsia="en-US"/>
        </w:rPr>
        <w:t>о</w:t>
      </w:r>
      <w:r>
        <w:rPr>
          <w:sz w:val="24"/>
          <w:szCs w:val="28"/>
          <w:lang w:eastAsia="en-US"/>
        </w:rPr>
        <w:t xml:space="preserve"> </w:t>
      </w:r>
      <w:r w:rsidRPr="00E5793A">
        <w:rPr>
          <w:sz w:val="24"/>
          <w:szCs w:val="28"/>
          <w:lang w:eastAsia="en-US"/>
        </w:rPr>
        <w:t xml:space="preserve">рішення </w:t>
      </w:r>
      <w:proofErr w:type="spellStart"/>
      <w:r w:rsidRPr="00E5793A">
        <w:rPr>
          <w:sz w:val="24"/>
          <w:szCs w:val="28"/>
          <w:lang w:eastAsia="en-US"/>
        </w:rPr>
        <w:t>Степанківської</w:t>
      </w:r>
      <w:proofErr w:type="spellEnd"/>
      <w:r w:rsidRPr="00E5793A">
        <w:rPr>
          <w:sz w:val="24"/>
          <w:szCs w:val="28"/>
          <w:lang w:eastAsia="en-US"/>
        </w:rPr>
        <w:t xml:space="preserve"> сільської ради</w:t>
      </w:r>
    </w:p>
    <w:p w:rsidR="00F4201C" w:rsidRPr="00E5793A" w:rsidRDefault="00F4201C" w:rsidP="00F4201C">
      <w:pPr>
        <w:ind w:left="708" w:firstLine="708"/>
        <w:jc w:val="right"/>
        <w:rPr>
          <w:sz w:val="24"/>
          <w:szCs w:val="28"/>
          <w:lang w:eastAsia="en-US"/>
        </w:rPr>
      </w:pPr>
      <w:r>
        <w:rPr>
          <w:sz w:val="24"/>
          <w:szCs w:val="28"/>
          <w:lang w:eastAsia="en-US"/>
        </w:rPr>
        <w:tab/>
      </w:r>
      <w:r>
        <w:rPr>
          <w:sz w:val="24"/>
          <w:szCs w:val="28"/>
          <w:lang w:eastAsia="en-US"/>
        </w:rPr>
        <w:tab/>
        <w:t>від 28.06.2024 №54-20</w:t>
      </w:r>
      <w:r w:rsidRPr="00E5793A">
        <w:rPr>
          <w:sz w:val="24"/>
          <w:szCs w:val="28"/>
          <w:lang w:eastAsia="en-US"/>
        </w:rPr>
        <w:t>/VІІІ</w:t>
      </w:r>
    </w:p>
    <w:p w:rsidR="00F4201C" w:rsidRPr="00E5793A" w:rsidRDefault="00F4201C" w:rsidP="00F4201C">
      <w:pPr>
        <w:ind w:left="4956" w:firstLine="6"/>
        <w:jc w:val="both"/>
        <w:rPr>
          <w:szCs w:val="28"/>
          <w:lang w:eastAsia="ru-RU"/>
        </w:rPr>
      </w:pPr>
    </w:p>
    <w:p w:rsidR="00F4201C" w:rsidRPr="00E5793A" w:rsidRDefault="00F4201C" w:rsidP="00F4201C">
      <w:pPr>
        <w:ind w:left="4956" w:firstLine="6"/>
        <w:jc w:val="both"/>
        <w:rPr>
          <w:szCs w:val="28"/>
          <w:lang w:eastAsia="ru-RU"/>
        </w:rPr>
      </w:pPr>
      <w:r w:rsidRPr="00E5793A">
        <w:rPr>
          <w:szCs w:val="28"/>
          <w:lang w:eastAsia="ru-RU"/>
        </w:rPr>
        <w:t>ЗАТВЕРДЖЕНО</w:t>
      </w:r>
    </w:p>
    <w:p w:rsidR="00F4201C" w:rsidRPr="00322637" w:rsidRDefault="00F4201C" w:rsidP="00F4201C">
      <w:pPr>
        <w:ind w:left="4956" w:firstLine="6"/>
        <w:jc w:val="both"/>
        <w:rPr>
          <w:szCs w:val="28"/>
          <w:lang w:eastAsia="ru-RU"/>
        </w:rPr>
      </w:pPr>
      <w:r w:rsidRPr="00E5793A">
        <w:rPr>
          <w:szCs w:val="28"/>
          <w:lang w:eastAsia="ru-RU"/>
        </w:rPr>
        <w:t xml:space="preserve">рішення </w:t>
      </w:r>
      <w:proofErr w:type="spellStart"/>
      <w:r w:rsidRPr="00E5793A">
        <w:rPr>
          <w:szCs w:val="28"/>
          <w:lang w:eastAsia="ru-RU"/>
        </w:rPr>
        <w:t>Степанківської</w:t>
      </w:r>
      <w:proofErr w:type="spellEnd"/>
      <w:r w:rsidRPr="00E5793A">
        <w:rPr>
          <w:szCs w:val="28"/>
          <w:lang w:eastAsia="ru-RU"/>
        </w:rPr>
        <w:t xml:space="preserve"> сільської ради </w:t>
      </w:r>
      <w:r w:rsidRPr="00322637">
        <w:rPr>
          <w:szCs w:val="28"/>
          <w:lang w:eastAsia="en-US"/>
        </w:rPr>
        <w:t>від 28.06.2024 №54-20/VІІІ</w:t>
      </w:r>
    </w:p>
    <w:p w:rsidR="00F4201C" w:rsidRPr="00F65714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Pr="00E1376A" w:rsidRDefault="00F4201C" w:rsidP="00F4201C">
      <w:pPr>
        <w:pStyle w:val="ae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F4201C" w:rsidRDefault="00F4201C" w:rsidP="00F4201C">
      <w:pPr>
        <w:spacing w:before="100" w:beforeAutospacing="1" w:after="100" w:afterAutospacing="1" w:line="360" w:lineRule="auto"/>
        <w:ind w:firstLine="709"/>
        <w:jc w:val="center"/>
        <w:rPr>
          <w:bCs/>
        </w:rPr>
      </w:pPr>
    </w:p>
    <w:p w:rsidR="00F4201C" w:rsidRDefault="00F4201C" w:rsidP="00F4201C">
      <w:pPr>
        <w:spacing w:before="100" w:beforeAutospacing="1" w:after="100" w:afterAutospacing="1" w:line="360" w:lineRule="auto"/>
        <w:ind w:firstLine="709"/>
        <w:jc w:val="center"/>
        <w:rPr>
          <w:bCs/>
        </w:rPr>
      </w:pPr>
    </w:p>
    <w:p w:rsidR="00F4201C" w:rsidRPr="00F65714" w:rsidRDefault="00F4201C" w:rsidP="00F4201C">
      <w:pPr>
        <w:spacing w:before="100" w:beforeAutospacing="1" w:after="100" w:afterAutospacing="1" w:line="360" w:lineRule="auto"/>
        <w:ind w:firstLine="709"/>
        <w:jc w:val="center"/>
        <w:rPr>
          <w:bCs/>
        </w:rPr>
      </w:pPr>
    </w:p>
    <w:p w:rsidR="00F4201C" w:rsidRPr="00C455A0" w:rsidRDefault="00F4201C" w:rsidP="00F4201C">
      <w:pPr>
        <w:pStyle w:val="ac"/>
        <w:shd w:val="clear" w:color="auto" w:fill="FCFCFC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</w:rPr>
      </w:pPr>
      <w:r w:rsidRPr="00C455A0">
        <w:rPr>
          <w:b/>
          <w:sz w:val="32"/>
          <w:szCs w:val="32"/>
        </w:rPr>
        <w:t>ПРОГРАМА</w:t>
      </w:r>
    </w:p>
    <w:p w:rsidR="00F4201C" w:rsidRPr="00C455A0" w:rsidRDefault="00F4201C" w:rsidP="00F4201C">
      <w:pPr>
        <w:pStyle w:val="ac"/>
        <w:shd w:val="clear" w:color="auto" w:fill="FCFCFC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  <w:lang w:val="uk-UA"/>
        </w:rPr>
      </w:pPr>
      <w:r w:rsidRPr="00C455A0">
        <w:rPr>
          <w:b/>
          <w:sz w:val="32"/>
          <w:szCs w:val="32"/>
          <w:lang w:val="uk-UA"/>
        </w:rPr>
        <w:t>«П</w:t>
      </w:r>
      <w:proofErr w:type="spellStart"/>
      <w:r w:rsidRPr="00C455A0">
        <w:rPr>
          <w:b/>
          <w:sz w:val="32"/>
          <w:szCs w:val="32"/>
        </w:rPr>
        <w:t>ідтримк</w:t>
      </w:r>
      <w:proofErr w:type="spellEnd"/>
      <w:r w:rsidRPr="00C455A0">
        <w:rPr>
          <w:b/>
          <w:sz w:val="32"/>
          <w:szCs w:val="32"/>
          <w:lang w:val="uk-UA"/>
        </w:rPr>
        <w:t>а</w:t>
      </w:r>
      <w:r w:rsidRPr="00C455A0">
        <w:rPr>
          <w:b/>
          <w:sz w:val="32"/>
          <w:szCs w:val="32"/>
        </w:rPr>
        <w:t xml:space="preserve"> </w:t>
      </w:r>
      <w:r w:rsidRPr="00C455A0">
        <w:rPr>
          <w:b/>
          <w:sz w:val="32"/>
          <w:szCs w:val="32"/>
          <w:lang w:val="uk-UA"/>
        </w:rPr>
        <w:t>діяльності органів виконавчої влади»</w:t>
      </w:r>
      <w:r w:rsidRPr="00C455A0">
        <w:rPr>
          <w:b/>
          <w:sz w:val="32"/>
          <w:szCs w:val="32"/>
        </w:rPr>
        <w:t xml:space="preserve"> </w:t>
      </w:r>
    </w:p>
    <w:p w:rsidR="00F4201C" w:rsidRPr="00C455A0" w:rsidRDefault="00F4201C" w:rsidP="00F4201C">
      <w:pPr>
        <w:pStyle w:val="ac"/>
        <w:shd w:val="clear" w:color="auto" w:fill="FCFCFC"/>
        <w:spacing w:before="0" w:beforeAutospacing="0" w:after="0" w:afterAutospacing="0" w:line="360" w:lineRule="auto"/>
        <w:jc w:val="center"/>
        <w:textAlignment w:val="baseline"/>
        <w:rPr>
          <w:b/>
          <w:sz w:val="32"/>
          <w:szCs w:val="32"/>
          <w:lang w:val="uk-UA"/>
        </w:rPr>
      </w:pPr>
      <w:r w:rsidRPr="00C455A0">
        <w:rPr>
          <w:b/>
          <w:sz w:val="32"/>
          <w:szCs w:val="32"/>
        </w:rPr>
        <w:t xml:space="preserve">на </w:t>
      </w:r>
      <w:r w:rsidRPr="00C455A0">
        <w:rPr>
          <w:b/>
          <w:sz w:val="32"/>
          <w:szCs w:val="32"/>
          <w:lang w:val="uk-UA"/>
        </w:rPr>
        <w:t xml:space="preserve">2025-2027 </w:t>
      </w:r>
      <w:r w:rsidRPr="00C455A0">
        <w:rPr>
          <w:b/>
          <w:sz w:val="32"/>
          <w:szCs w:val="32"/>
        </w:rPr>
        <w:t>р</w:t>
      </w:r>
      <w:proofErr w:type="spellStart"/>
      <w:r w:rsidRPr="00C455A0">
        <w:rPr>
          <w:b/>
          <w:sz w:val="32"/>
          <w:szCs w:val="32"/>
          <w:lang w:val="uk-UA"/>
        </w:rPr>
        <w:t>оки</w:t>
      </w:r>
      <w:proofErr w:type="spellEnd"/>
    </w:p>
    <w:p w:rsidR="00F4201C" w:rsidRPr="00C455A0" w:rsidRDefault="00F4201C" w:rsidP="00F4201C">
      <w:pPr>
        <w:jc w:val="center"/>
        <w:rPr>
          <w:bCs/>
          <w:szCs w:val="32"/>
        </w:rPr>
      </w:pPr>
    </w:p>
    <w:p w:rsidR="00F4201C" w:rsidRPr="00C455A0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Pr="00F65714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Pr="00F65714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Pr="00F65714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Pr="00F65714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Pr="00F65714" w:rsidRDefault="00F4201C" w:rsidP="00F4201C">
      <w:pPr>
        <w:spacing w:before="100" w:beforeAutospacing="1" w:after="100" w:afterAutospacing="1"/>
        <w:rPr>
          <w:bCs/>
        </w:rPr>
      </w:pPr>
    </w:p>
    <w:p w:rsidR="00F4201C" w:rsidRPr="00F65714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Pr="00F65714" w:rsidRDefault="00F4201C" w:rsidP="00F4201C">
      <w:pPr>
        <w:spacing w:before="100" w:beforeAutospacing="1" w:after="100" w:afterAutospacing="1"/>
        <w:ind w:firstLine="709"/>
        <w:jc w:val="center"/>
        <w:rPr>
          <w:bCs/>
        </w:rPr>
      </w:pPr>
    </w:p>
    <w:p w:rsidR="00F4201C" w:rsidRPr="00F65714" w:rsidRDefault="00F4201C" w:rsidP="00F4201C">
      <w:pPr>
        <w:pStyle w:val="ae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65714">
        <w:rPr>
          <w:rFonts w:ascii="Times New Roman" w:hAnsi="Times New Roman"/>
          <w:sz w:val="28"/>
          <w:szCs w:val="28"/>
          <w:lang w:val="uk-UA" w:eastAsia="ru-RU"/>
        </w:rPr>
        <w:t>с. Степанки</w:t>
      </w:r>
    </w:p>
    <w:p w:rsidR="00F4201C" w:rsidRDefault="00F4201C" w:rsidP="00F4201C">
      <w:pPr>
        <w:pStyle w:val="ae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F65714">
        <w:rPr>
          <w:rFonts w:ascii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>24</w:t>
      </w:r>
      <w:r w:rsidRPr="00F65714">
        <w:rPr>
          <w:rFonts w:ascii="Times New Roman" w:hAnsi="Times New Roman"/>
          <w:sz w:val="28"/>
          <w:szCs w:val="28"/>
          <w:lang w:val="uk-UA" w:eastAsia="ru-RU"/>
        </w:rPr>
        <w:t xml:space="preserve"> рік</w:t>
      </w:r>
    </w:p>
    <w:p w:rsidR="00F4201C" w:rsidRDefault="00F4201C" w:rsidP="00F4201C">
      <w:pPr>
        <w:pStyle w:val="ae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4201C" w:rsidRDefault="00F4201C" w:rsidP="00F4201C">
      <w:pPr>
        <w:tabs>
          <w:tab w:val="left" w:pos="915"/>
          <w:tab w:val="center" w:pos="4710"/>
        </w:tabs>
        <w:jc w:val="center"/>
        <w:rPr>
          <w:bCs/>
          <w:szCs w:val="28"/>
        </w:rPr>
      </w:pPr>
      <w:r w:rsidRPr="00F65714">
        <w:rPr>
          <w:bCs/>
          <w:szCs w:val="28"/>
        </w:rPr>
        <w:lastRenderedPageBreak/>
        <w:t>ЗМІСТ</w:t>
      </w:r>
    </w:p>
    <w:p w:rsidR="00F4201C" w:rsidRPr="00F65714" w:rsidRDefault="00F4201C" w:rsidP="00F4201C">
      <w:pPr>
        <w:tabs>
          <w:tab w:val="left" w:pos="915"/>
          <w:tab w:val="center" w:pos="4710"/>
        </w:tabs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390"/>
      </w:tblGrid>
      <w:tr w:rsidR="00F4201C" w:rsidRPr="00F65714" w:rsidTr="0001130B">
        <w:tc>
          <w:tcPr>
            <w:tcW w:w="9180" w:type="dxa"/>
          </w:tcPr>
          <w:p w:rsidR="00F4201C" w:rsidRPr="00F65714" w:rsidRDefault="00F4201C" w:rsidP="0001130B">
            <w:pPr>
              <w:pStyle w:val="11"/>
              <w:rPr>
                <w:lang w:val="uk-UA"/>
              </w:rPr>
            </w:pPr>
            <w:r w:rsidRPr="00F65714">
              <w:rPr>
                <w:lang w:val="uk-UA"/>
              </w:rPr>
              <w:t>Паспорт Програми…</w:t>
            </w:r>
            <w:r>
              <w:rPr>
                <w:lang w:val="uk-UA"/>
              </w:rPr>
              <w:t>..</w:t>
            </w:r>
            <w:r w:rsidRPr="00F65714">
              <w:rPr>
                <w:lang w:val="uk-UA"/>
              </w:rPr>
              <w:t>………………………………………………………….</w:t>
            </w:r>
          </w:p>
        </w:tc>
        <w:tc>
          <w:tcPr>
            <w:tcW w:w="390" w:type="dxa"/>
          </w:tcPr>
          <w:p w:rsidR="00F4201C" w:rsidRPr="00F65714" w:rsidRDefault="00F4201C" w:rsidP="0001130B">
            <w:pPr>
              <w:pStyle w:val="11"/>
              <w:rPr>
                <w:lang w:val="uk-UA"/>
              </w:rPr>
            </w:pPr>
            <w:r w:rsidRPr="00F65714">
              <w:rPr>
                <w:lang w:val="uk-UA"/>
              </w:rPr>
              <w:t>3</w:t>
            </w:r>
          </w:p>
        </w:tc>
      </w:tr>
      <w:tr w:rsidR="00F4201C" w:rsidRPr="00F65714" w:rsidTr="0001130B">
        <w:tc>
          <w:tcPr>
            <w:tcW w:w="9180" w:type="dxa"/>
          </w:tcPr>
          <w:p w:rsidR="00F4201C" w:rsidRPr="00F65714" w:rsidRDefault="00F4201C" w:rsidP="0001130B">
            <w:pPr>
              <w:pStyle w:val="11"/>
              <w:rPr>
                <w:spacing w:val="0"/>
                <w:lang w:val="uk-UA"/>
              </w:rPr>
            </w:pPr>
            <w:r w:rsidRPr="00F65714">
              <w:rPr>
                <w:lang w:val="uk-UA"/>
              </w:rPr>
              <w:t xml:space="preserve">Розділ 1. </w:t>
            </w:r>
            <w:r>
              <w:rPr>
                <w:lang w:val="uk-UA"/>
              </w:rPr>
              <w:t>Визначення проблеми, на розв’язання якої спрямована Програма</w:t>
            </w:r>
            <w:r w:rsidRPr="00F65714">
              <w:rPr>
                <w:lang w:val="uk-UA"/>
              </w:rPr>
              <w:t>.…</w:t>
            </w:r>
          </w:p>
        </w:tc>
        <w:tc>
          <w:tcPr>
            <w:tcW w:w="390" w:type="dxa"/>
          </w:tcPr>
          <w:p w:rsidR="00F4201C" w:rsidRPr="00F65714" w:rsidRDefault="00F4201C" w:rsidP="0001130B">
            <w:pPr>
              <w:pStyle w:val="11"/>
              <w:rPr>
                <w:spacing w:val="0"/>
                <w:lang w:val="uk-UA"/>
              </w:rPr>
            </w:pPr>
            <w:r w:rsidRPr="00F65714">
              <w:rPr>
                <w:spacing w:val="0"/>
                <w:lang w:val="uk-UA"/>
              </w:rPr>
              <w:t>4</w:t>
            </w:r>
          </w:p>
        </w:tc>
      </w:tr>
      <w:tr w:rsidR="00F4201C" w:rsidRPr="00F65714" w:rsidTr="0001130B">
        <w:tc>
          <w:tcPr>
            <w:tcW w:w="9180" w:type="dxa"/>
          </w:tcPr>
          <w:p w:rsidR="00F4201C" w:rsidRPr="00F65714" w:rsidRDefault="00F4201C" w:rsidP="0001130B">
            <w:pPr>
              <w:pStyle w:val="11"/>
              <w:rPr>
                <w:spacing w:val="0"/>
                <w:lang w:val="uk-UA"/>
              </w:rPr>
            </w:pPr>
            <w:r w:rsidRPr="00F65714">
              <w:rPr>
                <w:lang w:val="uk-UA"/>
              </w:rPr>
              <w:t>Розділ 2. Мета Програми………………</w:t>
            </w:r>
            <w:r>
              <w:rPr>
                <w:lang w:val="uk-UA"/>
              </w:rPr>
              <w:t>…...</w:t>
            </w:r>
            <w:r w:rsidRPr="00F65714">
              <w:rPr>
                <w:lang w:val="uk-UA"/>
              </w:rPr>
              <w:t>…………………………………...</w:t>
            </w:r>
          </w:p>
        </w:tc>
        <w:tc>
          <w:tcPr>
            <w:tcW w:w="390" w:type="dxa"/>
          </w:tcPr>
          <w:p w:rsidR="00F4201C" w:rsidRPr="00F65714" w:rsidRDefault="00F4201C" w:rsidP="0001130B">
            <w:pPr>
              <w:pStyle w:val="11"/>
              <w:rPr>
                <w:lang w:val="uk-UA"/>
              </w:rPr>
            </w:pPr>
            <w:r w:rsidRPr="00F65714">
              <w:rPr>
                <w:lang w:val="uk-UA"/>
              </w:rPr>
              <w:t>4</w:t>
            </w:r>
          </w:p>
        </w:tc>
      </w:tr>
      <w:tr w:rsidR="00F4201C" w:rsidRPr="00F65714" w:rsidTr="0001130B">
        <w:tc>
          <w:tcPr>
            <w:tcW w:w="9180" w:type="dxa"/>
          </w:tcPr>
          <w:p w:rsidR="00F4201C" w:rsidRPr="00F65714" w:rsidRDefault="00F4201C" w:rsidP="0001130B">
            <w:r w:rsidRPr="00F65714">
              <w:rPr>
                <w:iCs/>
                <w:szCs w:val="28"/>
              </w:rPr>
              <w:t xml:space="preserve">Розділ 3. </w:t>
            </w:r>
            <w:r>
              <w:rPr>
                <w:iCs/>
                <w:szCs w:val="28"/>
              </w:rPr>
              <w:t>Завдання</w:t>
            </w:r>
            <w:r w:rsidRPr="00F65714">
              <w:rPr>
                <w:szCs w:val="28"/>
              </w:rPr>
              <w:t xml:space="preserve"> Програми</w:t>
            </w:r>
            <w:r>
              <w:rPr>
                <w:iCs/>
                <w:szCs w:val="28"/>
              </w:rPr>
              <w:t>……………………………………...</w:t>
            </w:r>
            <w:r w:rsidRPr="00F65714">
              <w:rPr>
                <w:iCs/>
                <w:szCs w:val="28"/>
              </w:rPr>
              <w:t>…………</w:t>
            </w:r>
          </w:p>
        </w:tc>
        <w:tc>
          <w:tcPr>
            <w:tcW w:w="390" w:type="dxa"/>
          </w:tcPr>
          <w:p w:rsidR="00F4201C" w:rsidRPr="00F65714" w:rsidRDefault="00F4201C" w:rsidP="0001130B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4201C" w:rsidRPr="00F65714" w:rsidTr="0001130B">
        <w:tc>
          <w:tcPr>
            <w:tcW w:w="9180" w:type="dxa"/>
          </w:tcPr>
          <w:p w:rsidR="00F4201C" w:rsidRPr="00F65714" w:rsidRDefault="00F4201C" w:rsidP="0001130B">
            <w:pPr>
              <w:pStyle w:val="ac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F65714">
              <w:rPr>
                <w:iCs/>
                <w:sz w:val="28"/>
                <w:szCs w:val="28"/>
                <w:lang w:val="uk-UA"/>
              </w:rPr>
              <w:t>Розділ 4.</w:t>
            </w:r>
            <w:r w:rsidRPr="00F6571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Перелік завдань і заходів</w:t>
            </w:r>
            <w:r w:rsidRPr="00782510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82510">
              <w:rPr>
                <w:sz w:val="28"/>
                <w:szCs w:val="28"/>
                <w:lang w:eastAsia="ar-SA"/>
              </w:rPr>
              <w:t>Програми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>…</w:t>
            </w:r>
            <w:r w:rsidRPr="00F65714">
              <w:rPr>
                <w:sz w:val="28"/>
                <w:szCs w:val="28"/>
                <w:lang w:val="uk-UA"/>
              </w:rPr>
              <w:t>..…………………………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90" w:type="dxa"/>
          </w:tcPr>
          <w:p w:rsidR="00F4201C" w:rsidRPr="00F65714" w:rsidRDefault="00F4201C" w:rsidP="0001130B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F4201C" w:rsidRPr="00F65714" w:rsidTr="0001130B">
        <w:tc>
          <w:tcPr>
            <w:tcW w:w="9180" w:type="dxa"/>
          </w:tcPr>
          <w:p w:rsidR="00F4201C" w:rsidRPr="00F65714" w:rsidRDefault="00F4201C" w:rsidP="0001130B">
            <w:pPr>
              <w:rPr>
                <w:szCs w:val="28"/>
              </w:rPr>
            </w:pPr>
            <w:r w:rsidRPr="00F65714">
              <w:rPr>
                <w:bCs/>
                <w:szCs w:val="28"/>
              </w:rPr>
              <w:t xml:space="preserve">Розділ 5. </w:t>
            </w:r>
            <w:r>
              <w:rPr>
                <w:szCs w:val="28"/>
              </w:rPr>
              <w:t>Фінансове забезпечення виконання Програми.</w:t>
            </w:r>
            <w:r w:rsidRPr="00F65714">
              <w:rPr>
                <w:szCs w:val="28"/>
              </w:rPr>
              <w:t>….</w:t>
            </w:r>
            <w:r>
              <w:rPr>
                <w:bCs/>
                <w:szCs w:val="28"/>
              </w:rPr>
              <w:t>……………....</w:t>
            </w:r>
          </w:p>
        </w:tc>
        <w:tc>
          <w:tcPr>
            <w:tcW w:w="390" w:type="dxa"/>
          </w:tcPr>
          <w:p w:rsidR="00F4201C" w:rsidRPr="00F65714" w:rsidRDefault="00F4201C" w:rsidP="0001130B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4201C" w:rsidRPr="00F65714" w:rsidTr="0001130B">
        <w:tc>
          <w:tcPr>
            <w:tcW w:w="9180" w:type="dxa"/>
          </w:tcPr>
          <w:p w:rsidR="00F4201C" w:rsidRPr="00F65714" w:rsidRDefault="00F4201C" w:rsidP="0001130B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Розділ 6</w:t>
            </w:r>
            <w:r w:rsidRPr="00F65714">
              <w:rPr>
                <w:bCs/>
                <w:szCs w:val="28"/>
              </w:rPr>
              <w:t>.</w:t>
            </w:r>
            <w:r>
              <w:rPr>
                <w:bCs/>
                <w:szCs w:val="28"/>
              </w:rPr>
              <w:t xml:space="preserve"> Координація та контроль за виконанням Програми……………..</w:t>
            </w:r>
          </w:p>
        </w:tc>
        <w:tc>
          <w:tcPr>
            <w:tcW w:w="390" w:type="dxa"/>
          </w:tcPr>
          <w:p w:rsidR="00F4201C" w:rsidRDefault="00F4201C" w:rsidP="0001130B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F4201C" w:rsidRPr="00F65714" w:rsidRDefault="00F4201C" w:rsidP="00F4201C">
      <w:pPr>
        <w:pStyle w:val="11"/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tabs>
          <w:tab w:val="left" w:pos="3555"/>
        </w:tabs>
        <w:jc w:val="both"/>
        <w:rPr>
          <w:szCs w:val="28"/>
        </w:rPr>
      </w:pPr>
      <w:r w:rsidRPr="00F65714">
        <w:rPr>
          <w:szCs w:val="28"/>
        </w:rPr>
        <w:tab/>
      </w: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F65714" w:rsidRDefault="00F4201C" w:rsidP="00F4201C">
      <w:pPr>
        <w:jc w:val="both"/>
        <w:rPr>
          <w:szCs w:val="28"/>
        </w:rPr>
      </w:pPr>
    </w:p>
    <w:p w:rsidR="00F4201C" w:rsidRPr="00E07E8F" w:rsidRDefault="00F4201C" w:rsidP="00F4201C">
      <w:pPr>
        <w:ind w:left="708"/>
        <w:jc w:val="center"/>
        <w:rPr>
          <w:b/>
          <w:szCs w:val="28"/>
        </w:rPr>
      </w:pPr>
      <w:r w:rsidRPr="00F65714">
        <w:rPr>
          <w:szCs w:val="28"/>
        </w:rPr>
        <w:br w:type="page"/>
      </w:r>
      <w:r w:rsidRPr="00E07E8F">
        <w:rPr>
          <w:b/>
          <w:szCs w:val="28"/>
        </w:rPr>
        <w:lastRenderedPageBreak/>
        <w:t xml:space="preserve">Паспорт Програми </w:t>
      </w:r>
    </w:p>
    <w:p w:rsidR="00F4201C" w:rsidRPr="00F65714" w:rsidRDefault="00F4201C" w:rsidP="00F4201C">
      <w:pPr>
        <w:ind w:left="708"/>
        <w:jc w:val="center"/>
        <w:rPr>
          <w:bCs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6790"/>
      </w:tblGrid>
      <w:tr w:rsidR="00F4201C" w:rsidRPr="00936D9A" w:rsidTr="0001130B">
        <w:trPr>
          <w:trHeight w:val="37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szCs w:val="28"/>
              </w:rPr>
            </w:pPr>
            <w:r w:rsidRPr="00F65714">
              <w:rPr>
                <w:szCs w:val="28"/>
              </w:rPr>
              <w:t>Назва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E07E8F" w:rsidRDefault="00F4201C" w:rsidP="0001130B">
            <w:pPr>
              <w:suppressAutoHyphens/>
              <w:rPr>
                <w:rStyle w:val="ad"/>
                <w:rFonts w:eastAsiaTheme="majorEastAsia"/>
                <w:b w:val="0"/>
                <w:szCs w:val="28"/>
                <w:bdr w:val="none" w:sz="0" w:space="0" w:color="auto" w:frame="1"/>
              </w:rPr>
            </w:pPr>
            <w:r w:rsidRPr="00E07E8F">
              <w:rPr>
                <w:rStyle w:val="ad"/>
                <w:rFonts w:eastAsiaTheme="majorEastAsia"/>
                <w:szCs w:val="28"/>
                <w:bdr w:val="none" w:sz="0" w:space="0" w:color="auto" w:frame="1"/>
              </w:rPr>
              <w:t>Підтримка діяльності органів виконавчої влади</w:t>
            </w:r>
          </w:p>
          <w:p w:rsidR="00F4201C" w:rsidRPr="00E07E8F" w:rsidRDefault="00F4201C" w:rsidP="0001130B">
            <w:pPr>
              <w:suppressAutoHyphens/>
              <w:rPr>
                <w:b/>
                <w:bCs/>
                <w:szCs w:val="28"/>
                <w:bdr w:val="none" w:sz="0" w:space="0" w:color="auto" w:frame="1"/>
              </w:rPr>
            </w:pPr>
            <w:r>
              <w:rPr>
                <w:rStyle w:val="ad"/>
                <w:rFonts w:eastAsiaTheme="majorEastAsia"/>
                <w:szCs w:val="28"/>
                <w:bdr w:val="none" w:sz="0" w:space="0" w:color="auto" w:frame="1"/>
              </w:rPr>
              <w:t>на 2025-2027 роки</w:t>
            </w:r>
          </w:p>
        </w:tc>
      </w:tr>
      <w:tr w:rsidR="00F4201C" w:rsidRPr="00F65714" w:rsidTr="0001130B">
        <w:trPr>
          <w:trHeight w:val="634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szCs w:val="28"/>
              </w:rPr>
            </w:pPr>
            <w:r w:rsidRPr="00F65714">
              <w:rPr>
                <w:szCs w:val="28"/>
              </w:rPr>
              <w:t>Ініціатор розроблення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E07E8F" w:rsidRDefault="00F4201C" w:rsidP="0001130B">
            <w:pPr>
              <w:rPr>
                <w:szCs w:val="28"/>
              </w:rPr>
            </w:pPr>
            <w:proofErr w:type="spellStart"/>
            <w:r w:rsidRPr="00E07E8F">
              <w:rPr>
                <w:szCs w:val="28"/>
              </w:rPr>
              <w:t>Степанківська</w:t>
            </w:r>
            <w:proofErr w:type="spellEnd"/>
            <w:r w:rsidRPr="00E07E8F">
              <w:rPr>
                <w:szCs w:val="28"/>
              </w:rPr>
              <w:t xml:space="preserve"> сільська рада </w:t>
            </w:r>
          </w:p>
        </w:tc>
      </w:tr>
      <w:tr w:rsidR="00F4201C" w:rsidRPr="00F65714" w:rsidTr="0001130B">
        <w:trPr>
          <w:trHeight w:val="3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Розробник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szCs w:val="28"/>
              </w:rPr>
            </w:pPr>
            <w:r w:rsidRPr="00F65714">
              <w:rPr>
                <w:szCs w:val="28"/>
              </w:rPr>
              <w:t xml:space="preserve">Виконавчий комітет </w:t>
            </w:r>
            <w:proofErr w:type="spellStart"/>
            <w:r w:rsidRPr="00F65714">
              <w:rPr>
                <w:szCs w:val="28"/>
              </w:rPr>
              <w:t>Степанківської</w:t>
            </w:r>
            <w:proofErr w:type="spellEnd"/>
            <w:r w:rsidRPr="00F65714">
              <w:rPr>
                <w:szCs w:val="28"/>
              </w:rPr>
              <w:t xml:space="preserve"> сільської ради</w:t>
            </w:r>
          </w:p>
        </w:tc>
      </w:tr>
      <w:tr w:rsidR="00F4201C" w:rsidRPr="00F65714" w:rsidTr="0001130B">
        <w:trPr>
          <w:trHeight w:val="50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Нормативно-правова база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shd w:val="clear" w:color="auto" w:fill="FFFFFF"/>
              <w:rPr>
                <w:szCs w:val="28"/>
              </w:rPr>
            </w:pPr>
            <w:r w:rsidRPr="00F65714">
              <w:rPr>
                <w:szCs w:val="28"/>
              </w:rPr>
              <w:t>Конституція України,</w:t>
            </w:r>
            <w:r>
              <w:rPr>
                <w:szCs w:val="28"/>
              </w:rPr>
              <w:t xml:space="preserve"> </w:t>
            </w:r>
            <w:r w:rsidRPr="00F65714">
              <w:rPr>
                <w:szCs w:val="28"/>
              </w:rPr>
              <w:t xml:space="preserve">Закон України «Про </w:t>
            </w:r>
            <w:r>
              <w:rPr>
                <w:szCs w:val="28"/>
              </w:rPr>
              <w:t>місцеве самоврядування»</w:t>
            </w:r>
          </w:p>
        </w:tc>
      </w:tr>
      <w:tr w:rsidR="00F4201C" w:rsidRPr="00F65714" w:rsidTr="0001130B">
        <w:trPr>
          <w:trHeight w:val="56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Відповідальні виконавці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szCs w:val="28"/>
              </w:rPr>
            </w:pPr>
            <w:r w:rsidRPr="00F65714">
              <w:rPr>
                <w:szCs w:val="28"/>
              </w:rPr>
              <w:t xml:space="preserve">Виконавчий комітет </w:t>
            </w:r>
            <w:proofErr w:type="spellStart"/>
            <w:r w:rsidRPr="00F65714">
              <w:rPr>
                <w:szCs w:val="28"/>
              </w:rPr>
              <w:t>Степанківської</w:t>
            </w:r>
            <w:proofErr w:type="spellEnd"/>
            <w:r w:rsidRPr="00F65714">
              <w:rPr>
                <w:szCs w:val="28"/>
              </w:rPr>
              <w:t xml:space="preserve"> сільської ради</w:t>
            </w:r>
          </w:p>
        </w:tc>
      </w:tr>
      <w:tr w:rsidR="00F4201C" w:rsidRPr="00F65714" w:rsidTr="0001130B">
        <w:trPr>
          <w:trHeight w:val="67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Мета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pStyle w:val="ac"/>
              <w:spacing w:before="0" w:beforeAutospacing="0" w:after="0" w:afterAutospacing="0"/>
              <w:textAlignment w:val="baseline"/>
              <w:rPr>
                <w:sz w:val="28"/>
                <w:szCs w:val="28"/>
                <w:lang w:val="uk-UA"/>
              </w:rPr>
            </w:pPr>
            <w:r w:rsidRPr="000C5F02">
              <w:rPr>
                <w:sz w:val="28"/>
                <w:szCs w:val="28"/>
                <w:lang w:val="uk-UA"/>
              </w:rPr>
              <w:t xml:space="preserve">Забезпечення діяльності органів </w:t>
            </w:r>
            <w:r>
              <w:rPr>
                <w:sz w:val="28"/>
                <w:szCs w:val="28"/>
                <w:lang w:val="uk-UA"/>
              </w:rPr>
              <w:t>виконавчої влади</w:t>
            </w:r>
          </w:p>
        </w:tc>
      </w:tr>
      <w:tr w:rsidR="00F4201C" w:rsidRPr="00F65714" w:rsidTr="0001130B">
        <w:trPr>
          <w:trHeight w:val="649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bCs/>
                <w:szCs w:val="28"/>
              </w:rPr>
            </w:pPr>
            <w:r w:rsidRPr="00F65714">
              <w:rPr>
                <w:bCs/>
                <w:szCs w:val="28"/>
              </w:rPr>
              <w:t>Термін реалізації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szCs w:val="28"/>
              </w:rPr>
            </w:pPr>
            <w:r w:rsidRPr="00F65714">
              <w:rPr>
                <w:szCs w:val="28"/>
              </w:rPr>
              <w:t>202</w:t>
            </w:r>
            <w:r>
              <w:rPr>
                <w:szCs w:val="28"/>
              </w:rPr>
              <w:t>5-2027 роки</w:t>
            </w:r>
          </w:p>
        </w:tc>
      </w:tr>
      <w:tr w:rsidR="00F4201C" w:rsidRPr="00F65714" w:rsidTr="0001130B">
        <w:trPr>
          <w:trHeight w:val="84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rPr>
                <w:szCs w:val="28"/>
              </w:rPr>
            </w:pPr>
            <w:r w:rsidRPr="00F65714">
              <w:rPr>
                <w:szCs w:val="28"/>
              </w:rPr>
              <w:t>Фінансування Програми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tabs>
                <w:tab w:val="left" w:pos="9354"/>
              </w:tabs>
              <w:rPr>
                <w:color w:val="000000"/>
                <w:spacing w:val="2"/>
                <w:szCs w:val="28"/>
              </w:rPr>
            </w:pPr>
            <w:r w:rsidRPr="00F65714">
              <w:rPr>
                <w:color w:val="000000"/>
                <w:spacing w:val="2"/>
                <w:szCs w:val="28"/>
              </w:rPr>
              <w:t>Фінансування за рахунок коштів бю</w:t>
            </w:r>
            <w:r>
              <w:rPr>
                <w:color w:val="000000"/>
                <w:spacing w:val="2"/>
                <w:szCs w:val="28"/>
              </w:rPr>
              <w:t xml:space="preserve">джету </w:t>
            </w:r>
            <w:proofErr w:type="spellStart"/>
            <w:r>
              <w:rPr>
                <w:color w:val="000000"/>
                <w:spacing w:val="2"/>
                <w:szCs w:val="28"/>
              </w:rPr>
              <w:t>Степанківської</w:t>
            </w:r>
            <w:proofErr w:type="spellEnd"/>
            <w:r>
              <w:rPr>
                <w:color w:val="000000"/>
                <w:spacing w:val="2"/>
                <w:szCs w:val="28"/>
              </w:rPr>
              <w:t xml:space="preserve"> сільської</w:t>
            </w:r>
            <w:r w:rsidRPr="00F65714">
              <w:rPr>
                <w:color w:val="000000"/>
                <w:spacing w:val="2"/>
                <w:szCs w:val="28"/>
              </w:rPr>
              <w:t xml:space="preserve"> територіальної громади та інших джерел незаборонених чинним законодавством</w:t>
            </w:r>
          </w:p>
        </w:tc>
      </w:tr>
      <w:tr w:rsidR="00F4201C" w:rsidRPr="00936D9A" w:rsidTr="0001130B">
        <w:trPr>
          <w:trHeight w:val="536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tabs>
                <w:tab w:val="left" w:pos="9354"/>
              </w:tabs>
              <w:rPr>
                <w:color w:val="000000"/>
                <w:spacing w:val="2"/>
                <w:szCs w:val="28"/>
              </w:rPr>
            </w:pPr>
            <w:r w:rsidRPr="00F65714">
              <w:rPr>
                <w:color w:val="000000"/>
                <w:spacing w:val="2"/>
                <w:szCs w:val="28"/>
              </w:rPr>
              <w:t>Очікувані результати виконання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0C5F02" w:rsidRDefault="00F4201C" w:rsidP="0001130B">
            <w:pPr>
              <w:rPr>
                <w:szCs w:val="28"/>
              </w:rPr>
            </w:pPr>
            <w:r w:rsidRPr="005A1EE9">
              <w:rPr>
                <w:szCs w:val="28"/>
              </w:rPr>
              <w:t xml:space="preserve">Забезпечення </w:t>
            </w:r>
            <w:r>
              <w:rPr>
                <w:szCs w:val="28"/>
              </w:rPr>
              <w:t>співпраці</w:t>
            </w:r>
            <w:r w:rsidRPr="000C5F02">
              <w:rPr>
                <w:szCs w:val="28"/>
              </w:rPr>
              <w:t xml:space="preserve"> органів місцевого самоврядування з асоціаціями, міжнародними організаціями та фондами з питань місцевого самоврядування</w:t>
            </w:r>
          </w:p>
        </w:tc>
      </w:tr>
      <w:tr w:rsidR="00F4201C" w:rsidRPr="00F65714" w:rsidTr="0001130B">
        <w:trPr>
          <w:trHeight w:val="132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tabs>
                <w:tab w:val="left" w:pos="9354"/>
              </w:tabs>
              <w:rPr>
                <w:color w:val="000000"/>
                <w:spacing w:val="2"/>
                <w:szCs w:val="28"/>
              </w:rPr>
            </w:pPr>
            <w:r w:rsidRPr="00F65714">
              <w:rPr>
                <w:color w:val="000000"/>
                <w:spacing w:val="2"/>
                <w:szCs w:val="28"/>
              </w:rPr>
              <w:t>Контроль за виконанням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C" w:rsidRPr="00F65714" w:rsidRDefault="00F4201C" w:rsidP="0001130B">
            <w:pPr>
              <w:tabs>
                <w:tab w:val="left" w:pos="9354"/>
              </w:tabs>
              <w:rPr>
                <w:szCs w:val="28"/>
              </w:rPr>
            </w:pPr>
            <w:r w:rsidRPr="00F65714">
              <w:rPr>
                <w:szCs w:val="28"/>
              </w:rPr>
              <w:t>Ко</w:t>
            </w:r>
            <w:r>
              <w:rPr>
                <w:szCs w:val="28"/>
              </w:rPr>
              <w:t>нтроль за виконанням здійснює</w:t>
            </w:r>
          </w:p>
          <w:p w:rsidR="00F4201C" w:rsidRPr="00F65714" w:rsidRDefault="00F4201C" w:rsidP="0001130B">
            <w:pPr>
              <w:tabs>
                <w:tab w:val="left" w:pos="9354"/>
              </w:tabs>
              <w:rPr>
                <w:szCs w:val="28"/>
              </w:rPr>
            </w:pPr>
            <w:r w:rsidRPr="00F65714">
              <w:rPr>
                <w:szCs w:val="28"/>
              </w:rPr>
              <w:t xml:space="preserve">постійна комісія з питань фінансів, бюджету, планування соціально-економічного розвитку, інвестицій </w:t>
            </w:r>
            <w:r>
              <w:rPr>
                <w:szCs w:val="28"/>
              </w:rPr>
              <w:t>та міжнародного співробітництва.</w:t>
            </w:r>
          </w:p>
        </w:tc>
      </w:tr>
    </w:tbl>
    <w:p w:rsidR="00F4201C" w:rsidRPr="00F65714" w:rsidRDefault="00F4201C" w:rsidP="00F4201C"/>
    <w:p w:rsidR="00F4201C" w:rsidRPr="00F65714" w:rsidRDefault="00F4201C" w:rsidP="00F4201C"/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utoSpaceDE w:val="0"/>
        <w:autoSpaceDN w:val="0"/>
        <w:adjustRightInd w:val="0"/>
        <w:rPr>
          <w:sz w:val="24"/>
        </w:rPr>
      </w:pPr>
    </w:p>
    <w:p w:rsidR="00F4201C" w:rsidRDefault="00F4201C" w:rsidP="00F4201C">
      <w:pPr>
        <w:adjustRightInd w:val="0"/>
        <w:jc w:val="center"/>
        <w:rPr>
          <w:bCs/>
          <w:szCs w:val="28"/>
        </w:rPr>
      </w:pPr>
    </w:p>
    <w:p w:rsidR="00F4201C" w:rsidRDefault="00F4201C" w:rsidP="00F4201C">
      <w:pPr>
        <w:jc w:val="center"/>
        <w:rPr>
          <w:b/>
          <w:szCs w:val="28"/>
        </w:rPr>
      </w:pPr>
      <w:bookmarkStart w:id="0" w:name="z1"/>
      <w:bookmarkEnd w:id="0"/>
      <w:r>
        <w:rPr>
          <w:b/>
          <w:szCs w:val="28"/>
        </w:rPr>
        <w:lastRenderedPageBreak/>
        <w:t>Розділ І. Визначення проблеми, на розв’язання якої спрямована Програма</w:t>
      </w:r>
    </w:p>
    <w:p w:rsidR="00F4201C" w:rsidRDefault="00F4201C" w:rsidP="00F4201C">
      <w:pPr>
        <w:adjustRightInd w:val="0"/>
        <w:ind w:firstLine="709"/>
        <w:jc w:val="both"/>
        <w:rPr>
          <w:szCs w:val="28"/>
        </w:rPr>
      </w:pPr>
    </w:p>
    <w:p w:rsidR="00F4201C" w:rsidRDefault="00F4201C" w:rsidP="00F4201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Перед працівниками місцевих органів виконавчої влади поставлено низку завдань щодо забезпечення реалізації державної політики на місцевому рівні, у тому числі з урахуванням змін до податкового законодавства, нової концепції міжбюджетних відносин (зокрема запровадження програмно-цільового та </w:t>
      </w:r>
      <w:proofErr w:type="spellStart"/>
      <w:r>
        <w:rPr>
          <w:szCs w:val="28"/>
        </w:rPr>
        <w:t>ґендерно</w:t>
      </w:r>
      <w:proofErr w:type="spellEnd"/>
      <w:r>
        <w:rPr>
          <w:szCs w:val="28"/>
        </w:rPr>
        <w:t>-орієнтованого бюджетування місцевих бюджетів), підвищення самостійності місцевих бюджетів, надання адміністративних послуг, земельних реформ та реформ в галузі архітектури та містобудування, змін в галузі соціального захисту населення,  тощо. Передано додаткові повноваження у сферах освіти, охорони здоров’я,</w:t>
      </w:r>
      <w:r>
        <w:rPr>
          <w:szCs w:val="28"/>
          <w:lang w:val="ru-RU"/>
        </w:rPr>
        <w:t xml:space="preserve"> </w:t>
      </w:r>
      <w:r>
        <w:rPr>
          <w:szCs w:val="28"/>
        </w:rPr>
        <w:t>ветеринарної медицини тощо. Відповідальність за створення умов для розвитку економіки, господарської та соціально-культурної діяльності відповідної території покладається на місцеві органи виконавчої влади, зокрема на районну державну (військову) адміністрацію.</w:t>
      </w:r>
    </w:p>
    <w:p w:rsidR="00F4201C" w:rsidRDefault="00F4201C" w:rsidP="00F4201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Необхідність вирішення цих питань та наявна недостатність коштів державного бюджету</w:t>
      </w:r>
      <w:r w:rsidRPr="00754787">
        <w:rPr>
          <w:szCs w:val="28"/>
        </w:rPr>
        <w:t xml:space="preserve"> </w:t>
      </w:r>
      <w:r>
        <w:rPr>
          <w:szCs w:val="28"/>
        </w:rPr>
        <w:t>на утримання апарату районної державної адміністрації та її структурних підрозділів, зокрема в період воєнного стану в Україні, коли пріоритетом державного фінансування є військова галузь, і зумовила розроблення та прийняття Програми підтримки діяльності органів виконавчої влади на 2025-2027 роки (далі – Програма).</w:t>
      </w:r>
    </w:p>
    <w:p w:rsidR="00F4201C" w:rsidRDefault="00F4201C" w:rsidP="00F4201C">
      <w:pPr>
        <w:adjustRightInd w:val="0"/>
        <w:ind w:firstLine="709"/>
        <w:jc w:val="both"/>
        <w:rPr>
          <w:szCs w:val="28"/>
        </w:rPr>
      </w:pPr>
    </w:p>
    <w:p w:rsidR="00F4201C" w:rsidRDefault="00F4201C" w:rsidP="00F4201C">
      <w:pPr>
        <w:jc w:val="center"/>
        <w:rPr>
          <w:b/>
          <w:szCs w:val="28"/>
        </w:rPr>
      </w:pPr>
      <w:r>
        <w:rPr>
          <w:b/>
          <w:szCs w:val="28"/>
        </w:rPr>
        <w:t>Розділ ІІ. Мета Програми</w:t>
      </w:r>
    </w:p>
    <w:p w:rsidR="00F4201C" w:rsidRDefault="00F4201C" w:rsidP="00F4201C">
      <w:pPr>
        <w:ind w:firstLine="709"/>
        <w:jc w:val="both"/>
        <w:rPr>
          <w:szCs w:val="28"/>
        </w:rPr>
      </w:pPr>
      <w:r w:rsidRPr="00917BCB">
        <w:rPr>
          <w:szCs w:val="28"/>
        </w:rPr>
        <w:t>Метою Програми є підвищення ефективності роботи структурних підрозділів районної державної</w:t>
      </w:r>
      <w:r>
        <w:rPr>
          <w:szCs w:val="28"/>
        </w:rPr>
        <w:t xml:space="preserve"> (військової)</w:t>
      </w:r>
      <w:r w:rsidRPr="00917BCB">
        <w:rPr>
          <w:szCs w:val="28"/>
        </w:rPr>
        <w:t xml:space="preserve"> адміністрації, своєчасне та в повному обсязі надання послуг жителям району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Степанківської</w:t>
      </w:r>
      <w:proofErr w:type="spellEnd"/>
      <w:r>
        <w:rPr>
          <w:szCs w:val="28"/>
        </w:rPr>
        <w:t xml:space="preserve"> сільської територіальної громади </w:t>
      </w:r>
      <w:r w:rsidRPr="00917BCB">
        <w:rPr>
          <w:szCs w:val="28"/>
        </w:rPr>
        <w:t xml:space="preserve">щодо реалізації державної політики з питань соціального захисту, забезпечення своєчасної в повному обсязі виплати заробітної плати працівникам управління соціального захисту населення та служби у справах дітей районної державної адміністрації, </w:t>
      </w:r>
      <w:r w:rsidRPr="00E21B54">
        <w:rPr>
          <w:szCs w:val="28"/>
        </w:rPr>
        <w:t>для підвищення ефективності роботи управління агропромислового розвитку, житлово-комунального господарства та екології, покращення якості надання адміністративних послуг громадянам,</w:t>
      </w:r>
      <w:r>
        <w:rPr>
          <w:szCs w:val="28"/>
        </w:rPr>
        <w:t xml:space="preserve"> </w:t>
      </w:r>
      <w:r w:rsidRPr="00917BCB">
        <w:rPr>
          <w:szCs w:val="28"/>
        </w:rPr>
        <w:t xml:space="preserve">забезпечення безперебійної роботи фінансового управління районної державної адміністрації при виконанні державного та районного бюджетів. </w:t>
      </w:r>
    </w:p>
    <w:p w:rsidR="00F4201C" w:rsidRPr="00917BCB" w:rsidRDefault="00F4201C" w:rsidP="00F4201C">
      <w:pPr>
        <w:ind w:firstLine="709"/>
        <w:jc w:val="both"/>
        <w:rPr>
          <w:b/>
          <w:szCs w:val="28"/>
        </w:rPr>
      </w:pPr>
      <w:r w:rsidRPr="00917BCB">
        <w:rPr>
          <w:szCs w:val="28"/>
        </w:rPr>
        <w:t>Прийняття Програми дасть змогу покращити рівень матеріально-технічного забезпечення структурних підрозділів районної державної</w:t>
      </w:r>
      <w:r>
        <w:rPr>
          <w:szCs w:val="28"/>
        </w:rPr>
        <w:t xml:space="preserve"> (військової)</w:t>
      </w:r>
      <w:r w:rsidRPr="00917BCB">
        <w:rPr>
          <w:szCs w:val="28"/>
        </w:rPr>
        <w:t xml:space="preserve"> адміністрації.</w:t>
      </w:r>
    </w:p>
    <w:p w:rsidR="00F4201C" w:rsidRDefault="00F4201C" w:rsidP="00F4201C">
      <w:pPr>
        <w:jc w:val="center"/>
        <w:rPr>
          <w:b/>
          <w:szCs w:val="28"/>
        </w:rPr>
      </w:pPr>
      <w:r>
        <w:rPr>
          <w:b/>
          <w:szCs w:val="28"/>
        </w:rPr>
        <w:t xml:space="preserve">Розділ ІІІ. Завдання Програми </w:t>
      </w:r>
    </w:p>
    <w:p w:rsidR="00F4201C" w:rsidRDefault="00F4201C" w:rsidP="00F4201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Програма розроблена з урахуванням вимог статті 85 Бюджетного кодексу України та з метою підвищення ефективності роботи управління агропромислового розвитку районної державної адміністрації, спрямованої на якісне здійснення ними повноважень, делегованих їй районною радою на підставі статті 44 Закону України "Про місцеве самоврядування в Україні", стосовно забезпечення виконання рішень районної ради, програми економічного і соціального розвитку району, цільових програм з інших питань, а також розвитку науки, усіх видів освіти, охорони здоров’я, культури, фізичної культури </w:t>
      </w:r>
      <w:r>
        <w:rPr>
          <w:szCs w:val="28"/>
        </w:rPr>
        <w:lastRenderedPageBreak/>
        <w:t xml:space="preserve">і спорту, туризму та реалізації ними владних повноважень, встановлених Законом України "Про місцеві державні адміністрації".  </w:t>
      </w:r>
    </w:p>
    <w:p w:rsidR="00F4201C" w:rsidRDefault="00F4201C" w:rsidP="00F4201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Програма спрямована на створення умов для забезпечення безперебійного та ефективного виконання управління агропромислового розвитку державної районної адміністрації делегованих районною радою районній державній адміністрації повноважень та владних повноважень, вирішення проблем соціально-економічного характеру.</w:t>
      </w:r>
    </w:p>
    <w:p w:rsidR="00F4201C" w:rsidRDefault="00F4201C" w:rsidP="00F4201C">
      <w:pPr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Досягнення поставлених завдань можливе за наявності кваліфікованого кадрового потенціалу, </w:t>
      </w:r>
      <w:r>
        <w:rPr>
          <w:szCs w:val="28"/>
        </w:rPr>
        <w:t>здатного до генерування ідей, креативного мислення, постійного підвищення свого кваліфікаційного рівня та за умови належного фінансового та матеріально-технічного забезпечення діяльності управління агропромислового розвитку державної районної адміністрації.</w:t>
      </w:r>
    </w:p>
    <w:p w:rsidR="00F4201C" w:rsidRDefault="00F4201C" w:rsidP="00F4201C">
      <w:pPr>
        <w:adjustRightInd w:val="0"/>
        <w:ind w:firstLine="709"/>
        <w:jc w:val="both"/>
        <w:rPr>
          <w:szCs w:val="28"/>
        </w:rPr>
      </w:pPr>
      <w:r>
        <w:rPr>
          <w:szCs w:val="28"/>
        </w:rPr>
        <w:t>В той же час має місце недостатність видатків державного бюджету на поточне утримання управління, особливо в умовах неодноразового підвищення цін на товари та послуги, в тому числі комунальні, пальне, технічне обслуговування. Протягом останніх років практично</w:t>
      </w:r>
      <w:r>
        <w:rPr>
          <w:szCs w:val="28"/>
          <w:lang w:val="ru-RU"/>
        </w:rPr>
        <w:t xml:space="preserve"> </w:t>
      </w:r>
      <w:r>
        <w:rPr>
          <w:szCs w:val="28"/>
        </w:rPr>
        <w:t>відсутні призначення по капітальних видатках, що в свою чергу створює суттєві перешкоди в оновленні матеріально-технічної бази для забезпечення безперебійного та ефективного виконання органами влади покладених на них функцій.</w:t>
      </w:r>
    </w:p>
    <w:p w:rsidR="00F4201C" w:rsidRPr="00A8727C" w:rsidRDefault="00F4201C" w:rsidP="00F4201C">
      <w:pPr>
        <w:jc w:val="center"/>
        <w:rPr>
          <w:b/>
          <w:szCs w:val="28"/>
        </w:rPr>
      </w:pPr>
      <w:r>
        <w:rPr>
          <w:b/>
          <w:szCs w:val="28"/>
        </w:rPr>
        <w:t>Розділ І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 xml:space="preserve">. </w:t>
      </w:r>
      <w:r>
        <w:rPr>
          <w:b/>
          <w:bCs/>
          <w:szCs w:val="28"/>
        </w:rPr>
        <w:t>Перелік завдань і заходів Програми</w:t>
      </w:r>
    </w:p>
    <w:p w:rsidR="00F4201C" w:rsidRDefault="00F4201C" w:rsidP="00F4201C">
      <w:pPr>
        <w:adjustRightInd w:val="0"/>
        <w:jc w:val="both"/>
        <w:rPr>
          <w:szCs w:val="28"/>
        </w:rPr>
      </w:pPr>
      <w:r>
        <w:rPr>
          <w:szCs w:val="28"/>
        </w:rPr>
        <w:t>Програма передбачає реалізацію таких пріоритетних завдань:</w:t>
      </w:r>
    </w:p>
    <w:p w:rsidR="00F4201C" w:rsidRDefault="00F4201C" w:rsidP="00F4201C">
      <w:pPr>
        <w:pStyle w:val="a7"/>
        <w:numPr>
          <w:ilvl w:val="0"/>
          <w:numId w:val="1"/>
        </w:numPr>
        <w:jc w:val="both"/>
      </w:pPr>
      <w:r w:rsidRPr="00A96046">
        <w:t>придбання канцелярських приладів та інших товарно-матеріальних цінностей;</w:t>
      </w:r>
    </w:p>
    <w:p w:rsidR="00F4201C" w:rsidRDefault="00F4201C" w:rsidP="00F4201C">
      <w:pPr>
        <w:pStyle w:val="a7"/>
        <w:numPr>
          <w:ilvl w:val="0"/>
          <w:numId w:val="1"/>
        </w:numPr>
        <w:jc w:val="both"/>
      </w:pPr>
      <w:r w:rsidRPr="00A96046">
        <w:t>придбання матеріально-інформаційного забезпечення;</w:t>
      </w:r>
    </w:p>
    <w:p w:rsidR="00F4201C" w:rsidRDefault="00F4201C" w:rsidP="00F4201C">
      <w:pPr>
        <w:pStyle w:val="a7"/>
        <w:numPr>
          <w:ilvl w:val="0"/>
          <w:numId w:val="1"/>
        </w:numPr>
        <w:jc w:val="both"/>
      </w:pPr>
      <w:r w:rsidRPr="00A96046">
        <w:t>виготовлення бланків заяв та декларацій отримувачам субсидії;</w:t>
      </w:r>
    </w:p>
    <w:p w:rsidR="00F4201C" w:rsidRDefault="00F4201C" w:rsidP="00F4201C">
      <w:pPr>
        <w:pStyle w:val="a7"/>
        <w:numPr>
          <w:ilvl w:val="0"/>
          <w:numId w:val="1"/>
        </w:numPr>
        <w:jc w:val="both"/>
      </w:pPr>
      <w:r w:rsidRPr="00A96046">
        <w:t>оплата навчання з питань охорони праці;</w:t>
      </w:r>
    </w:p>
    <w:p w:rsidR="00F4201C" w:rsidRPr="00A96046" w:rsidRDefault="00F4201C" w:rsidP="00F4201C">
      <w:pPr>
        <w:pStyle w:val="a7"/>
        <w:numPr>
          <w:ilvl w:val="0"/>
          <w:numId w:val="1"/>
        </w:numPr>
        <w:jc w:val="both"/>
      </w:pPr>
      <w:r w:rsidRPr="00A96046">
        <w:t>оплата праці та нарахування на заробітну плату.</w:t>
      </w:r>
    </w:p>
    <w:p w:rsidR="00F4201C" w:rsidRDefault="00F4201C" w:rsidP="00F4201C">
      <w:pPr>
        <w:jc w:val="center"/>
        <w:rPr>
          <w:b/>
          <w:szCs w:val="28"/>
        </w:rPr>
      </w:pPr>
      <w:r>
        <w:rPr>
          <w:b/>
          <w:szCs w:val="28"/>
        </w:rPr>
        <w:t xml:space="preserve">Розділ </w:t>
      </w:r>
      <w:r>
        <w:rPr>
          <w:b/>
          <w:szCs w:val="28"/>
          <w:lang w:val="en-US"/>
        </w:rPr>
        <w:t>V</w:t>
      </w:r>
      <w:r>
        <w:rPr>
          <w:b/>
          <w:szCs w:val="28"/>
        </w:rPr>
        <w:t>. Фінансове забезпечення Програми</w:t>
      </w:r>
    </w:p>
    <w:p w:rsidR="00F4201C" w:rsidRDefault="00F4201C" w:rsidP="00F4201C">
      <w:pPr>
        <w:ind w:firstLine="709"/>
        <w:jc w:val="both"/>
        <w:rPr>
          <w:szCs w:val="28"/>
        </w:rPr>
      </w:pPr>
      <w:r w:rsidRPr="00917BCB">
        <w:rPr>
          <w:szCs w:val="28"/>
        </w:rPr>
        <w:t>Фінансування реаліза</w:t>
      </w:r>
      <w:r>
        <w:rPr>
          <w:szCs w:val="28"/>
        </w:rPr>
        <w:t xml:space="preserve">ції Програми здійснюватиметься за рахунок коштів бюджету </w:t>
      </w:r>
      <w:proofErr w:type="spellStart"/>
      <w:r>
        <w:rPr>
          <w:szCs w:val="28"/>
        </w:rPr>
        <w:t>Степанківської</w:t>
      </w:r>
      <w:proofErr w:type="spellEnd"/>
      <w:r>
        <w:rPr>
          <w:szCs w:val="28"/>
        </w:rPr>
        <w:t xml:space="preserve"> сільської територіальної громади</w:t>
      </w:r>
      <w:r w:rsidRPr="00917BCB">
        <w:rPr>
          <w:szCs w:val="28"/>
        </w:rPr>
        <w:t xml:space="preserve">, з врахуванням </w:t>
      </w:r>
      <w:r>
        <w:rPr>
          <w:szCs w:val="28"/>
        </w:rPr>
        <w:t xml:space="preserve">вимог </w:t>
      </w:r>
      <w:r w:rsidRPr="00917BCB">
        <w:rPr>
          <w:szCs w:val="28"/>
        </w:rPr>
        <w:t>статті 85 Бюджетного кодексу України</w:t>
      </w:r>
      <w:r>
        <w:rPr>
          <w:szCs w:val="28"/>
        </w:rPr>
        <w:t>,</w:t>
      </w:r>
      <w:r w:rsidRPr="00917BCB">
        <w:rPr>
          <w:szCs w:val="28"/>
        </w:rPr>
        <w:t xml:space="preserve"> за рахунок вільного залишку бюджетних коштів або перевиконання дохідної частини загального фонду сільського бюджету за умови відсутності заборгованості такого бюджету за захищеними статтями видатків протягом року на будь-яку дату та інших джерел не заборонених законодавством. </w:t>
      </w:r>
    </w:p>
    <w:p w:rsidR="00F4201C" w:rsidRPr="00A8727C" w:rsidRDefault="00F4201C" w:rsidP="00F4201C">
      <w:pPr>
        <w:jc w:val="center"/>
        <w:rPr>
          <w:b/>
          <w:szCs w:val="28"/>
        </w:rPr>
      </w:pPr>
      <w:r>
        <w:rPr>
          <w:b/>
          <w:szCs w:val="28"/>
        </w:rPr>
        <w:t xml:space="preserve">Розділ </w:t>
      </w:r>
      <w:r>
        <w:rPr>
          <w:b/>
          <w:szCs w:val="28"/>
          <w:lang w:val="en-US"/>
        </w:rPr>
        <w:t>VI</w:t>
      </w:r>
      <w:r>
        <w:rPr>
          <w:b/>
          <w:szCs w:val="28"/>
        </w:rPr>
        <w:t xml:space="preserve">. </w:t>
      </w:r>
      <w:r>
        <w:rPr>
          <w:b/>
          <w:bCs/>
          <w:szCs w:val="28"/>
        </w:rPr>
        <w:t>Координація та контроль за виконанням Програми</w:t>
      </w:r>
    </w:p>
    <w:p w:rsidR="00F4201C" w:rsidRDefault="00F4201C" w:rsidP="00F4201C">
      <w:pPr>
        <w:ind w:firstLine="709"/>
        <w:jc w:val="both"/>
        <w:rPr>
          <w:szCs w:val="28"/>
        </w:rPr>
      </w:pPr>
      <w:r>
        <w:rPr>
          <w:szCs w:val="28"/>
        </w:rPr>
        <w:t xml:space="preserve">Виконання Програми покладається на комісію з питань фінансів, бюджету, планування соціально-економічного розвитку, інвестицій та міжнародного співробітництва та виконавчі органи Черкаської районної державної адміністрації. </w:t>
      </w:r>
    </w:p>
    <w:p w:rsidR="00F4201C" w:rsidRDefault="00F4201C" w:rsidP="00F4201C">
      <w:pPr>
        <w:adjustRightInd w:val="0"/>
        <w:rPr>
          <w:szCs w:val="28"/>
        </w:rPr>
      </w:pPr>
    </w:p>
    <w:p w:rsidR="00F4201C" w:rsidRDefault="00F4201C" w:rsidP="00F4201C">
      <w:pPr>
        <w:adjustRightInd w:val="0"/>
        <w:rPr>
          <w:szCs w:val="28"/>
        </w:rPr>
      </w:pPr>
    </w:p>
    <w:p w:rsidR="00F4201C" w:rsidRDefault="00F4201C" w:rsidP="00F4201C">
      <w:pPr>
        <w:adjustRightInd w:val="0"/>
        <w:rPr>
          <w:szCs w:val="28"/>
        </w:rPr>
      </w:pPr>
      <w:r>
        <w:rPr>
          <w:szCs w:val="28"/>
        </w:rPr>
        <w:t>Секретар сільської ради                                                                    Інна НЕВГОД</w:t>
      </w:r>
    </w:p>
    <w:p w:rsidR="00F4201C" w:rsidRDefault="00F4201C"/>
    <w:sectPr w:rsidR="00F4201C" w:rsidSect="00F4201C">
      <w:footerReference w:type="even" r:id="rId5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DA5C4C">
    <w:pPr>
      <w:pStyle w:val="af"/>
      <w:jc w:val="right"/>
    </w:pPr>
    <w:r>
      <w:t>4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2B91"/>
    <w:multiLevelType w:val="hybridMultilevel"/>
    <w:tmpl w:val="E2045E28"/>
    <w:lvl w:ilvl="0" w:tplc="4A2AB3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1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1C"/>
    <w:rsid w:val="003777AD"/>
    <w:rsid w:val="00F4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8D2CAFA-DC82-8340-AAEF-BBD23ACD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01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2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2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2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20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20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20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20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20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20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20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2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20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20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20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2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20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201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nhideWhenUsed/>
    <w:rsid w:val="00F4201C"/>
    <w:pPr>
      <w:spacing w:before="100" w:beforeAutospacing="1" w:after="100" w:afterAutospacing="1"/>
    </w:pPr>
    <w:rPr>
      <w:sz w:val="24"/>
      <w:lang w:val="ru-RU" w:eastAsia="ru-RU"/>
    </w:rPr>
  </w:style>
  <w:style w:type="character" w:styleId="ad">
    <w:name w:val="Strong"/>
    <w:qFormat/>
    <w:rsid w:val="00F4201C"/>
    <w:rPr>
      <w:b/>
      <w:bCs/>
    </w:rPr>
  </w:style>
  <w:style w:type="paragraph" w:styleId="11">
    <w:name w:val="toc 1"/>
    <w:basedOn w:val="a"/>
    <w:next w:val="a"/>
    <w:link w:val="12"/>
    <w:autoRedefine/>
    <w:rsid w:val="00F4201C"/>
    <w:pPr>
      <w:tabs>
        <w:tab w:val="right" w:leader="dot" w:pos="9356"/>
      </w:tabs>
      <w:jc w:val="both"/>
      <w:outlineLvl w:val="1"/>
    </w:pPr>
    <w:rPr>
      <w:spacing w:val="-6"/>
      <w:szCs w:val="28"/>
      <w:lang w:val="x-none" w:eastAsia="ru-RU"/>
    </w:rPr>
  </w:style>
  <w:style w:type="character" w:customStyle="1" w:styleId="12">
    <w:name w:val="Оглавление 1 Знак"/>
    <w:link w:val="11"/>
    <w:locked/>
    <w:rsid w:val="00F4201C"/>
    <w:rPr>
      <w:rFonts w:ascii="Times New Roman" w:eastAsia="Times New Roman" w:hAnsi="Times New Roman" w:cs="Times New Roman"/>
      <w:spacing w:val="-6"/>
      <w:kern w:val="0"/>
      <w:sz w:val="28"/>
      <w:szCs w:val="28"/>
      <w:lang w:val="x-none" w:eastAsia="ru-RU"/>
      <w14:ligatures w14:val="none"/>
    </w:rPr>
  </w:style>
  <w:style w:type="paragraph" w:styleId="ae">
    <w:name w:val="No Spacing"/>
    <w:uiPriority w:val="1"/>
    <w:qFormat/>
    <w:rsid w:val="00F4201C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val="ru-RU"/>
      <w14:ligatures w14:val="none"/>
    </w:rPr>
  </w:style>
  <w:style w:type="paragraph" w:styleId="af">
    <w:name w:val="footer"/>
    <w:basedOn w:val="a"/>
    <w:link w:val="af0"/>
    <w:uiPriority w:val="99"/>
    <w:unhideWhenUsed/>
    <w:rsid w:val="00F42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201C"/>
    <w:rPr>
      <w:rFonts w:ascii="Times New Roman" w:eastAsia="Times New Roman" w:hAnsi="Times New Roman" w:cs="Times New Roman"/>
      <w:kern w:val="0"/>
      <w:sz w:val="2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2025-02-25T13:04:00Z</dcterms:created>
  <dcterms:modified xsi:type="dcterms:W3CDTF">2025-02-25T13:04:00Z</dcterms:modified>
</cp:coreProperties>
</file>