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58B3" w:rsidRDefault="002058B3" w:rsidP="002058B3">
      <w:pPr>
        <w:ind w:right="-1"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2058B3" w:rsidRDefault="002058B3" w:rsidP="002058B3">
      <w:pPr>
        <w:ind w:right="-1" w:firstLine="5103"/>
        <w:rPr>
          <w:sz w:val="28"/>
          <w:szCs w:val="28"/>
        </w:rPr>
      </w:pPr>
      <w:r>
        <w:rPr>
          <w:sz w:val="28"/>
          <w:szCs w:val="28"/>
        </w:rPr>
        <w:t>до рішення сільської ради</w:t>
      </w:r>
    </w:p>
    <w:p w:rsidR="002058B3" w:rsidRDefault="002058B3" w:rsidP="002058B3">
      <w:pPr>
        <w:ind w:right="-1" w:firstLine="5103"/>
        <w:rPr>
          <w:sz w:val="28"/>
          <w:szCs w:val="28"/>
        </w:rPr>
      </w:pPr>
      <w:r>
        <w:rPr>
          <w:sz w:val="28"/>
          <w:szCs w:val="28"/>
        </w:rPr>
        <w:t>від 28.06.2024</w:t>
      </w:r>
      <w:r w:rsidRPr="007A05AE">
        <w:rPr>
          <w:sz w:val="28"/>
          <w:szCs w:val="28"/>
        </w:rPr>
        <w:t xml:space="preserve"> </w:t>
      </w:r>
      <w:r>
        <w:rPr>
          <w:sz w:val="28"/>
          <w:szCs w:val="28"/>
        </w:rPr>
        <w:t>№54-25</w:t>
      </w:r>
      <w:r w:rsidRPr="00BE5992">
        <w:rPr>
          <w:sz w:val="28"/>
          <w:szCs w:val="28"/>
        </w:rPr>
        <w:t>/</w:t>
      </w:r>
      <w:r w:rsidRPr="00BE5992">
        <w:rPr>
          <w:sz w:val="28"/>
          <w:szCs w:val="28"/>
          <w:lang w:val="en-US"/>
        </w:rPr>
        <w:t>V</w:t>
      </w:r>
      <w:r w:rsidRPr="00BE5992">
        <w:rPr>
          <w:sz w:val="28"/>
          <w:szCs w:val="28"/>
        </w:rPr>
        <w:t>ІІІ</w:t>
      </w:r>
    </w:p>
    <w:p w:rsidR="002058B3" w:rsidRPr="00CB5CDB" w:rsidRDefault="002058B3" w:rsidP="002058B3">
      <w:pPr>
        <w:pStyle w:val="23"/>
        <w:spacing w:after="0" w:line="240" w:lineRule="auto"/>
        <w:ind w:left="4956" w:firstLine="6"/>
        <w:jc w:val="both"/>
        <w:rPr>
          <w:sz w:val="28"/>
          <w:szCs w:val="28"/>
        </w:rPr>
      </w:pPr>
    </w:p>
    <w:p w:rsidR="002058B3" w:rsidRPr="00CB5CDB" w:rsidRDefault="002058B3" w:rsidP="002058B3">
      <w:pPr>
        <w:pStyle w:val="23"/>
        <w:spacing w:after="0" w:line="240" w:lineRule="auto"/>
        <w:ind w:left="4956" w:firstLine="6"/>
        <w:jc w:val="both"/>
        <w:rPr>
          <w:sz w:val="28"/>
          <w:szCs w:val="28"/>
        </w:rPr>
      </w:pPr>
      <w:r w:rsidRPr="00CB5CDB">
        <w:rPr>
          <w:sz w:val="28"/>
          <w:szCs w:val="28"/>
        </w:rPr>
        <w:t>ЗАТВЕРДЖЕНО</w:t>
      </w:r>
    </w:p>
    <w:p w:rsidR="002058B3" w:rsidRPr="00CB5CDB" w:rsidRDefault="002058B3" w:rsidP="002058B3">
      <w:pPr>
        <w:pStyle w:val="23"/>
        <w:spacing w:after="0" w:line="240" w:lineRule="auto"/>
        <w:ind w:left="4956" w:firstLine="6"/>
        <w:jc w:val="both"/>
        <w:rPr>
          <w:sz w:val="28"/>
          <w:szCs w:val="28"/>
        </w:rPr>
      </w:pPr>
      <w:r w:rsidRPr="00CB5CDB">
        <w:rPr>
          <w:sz w:val="28"/>
          <w:szCs w:val="28"/>
        </w:rPr>
        <w:t xml:space="preserve">рішення </w:t>
      </w:r>
      <w:proofErr w:type="spellStart"/>
      <w:r w:rsidRPr="00CB5CDB">
        <w:rPr>
          <w:sz w:val="28"/>
          <w:szCs w:val="28"/>
        </w:rPr>
        <w:t>Степанківської</w:t>
      </w:r>
      <w:proofErr w:type="spellEnd"/>
      <w:r w:rsidRPr="00CB5CDB">
        <w:rPr>
          <w:sz w:val="28"/>
          <w:szCs w:val="28"/>
        </w:rPr>
        <w:t xml:space="preserve"> сіль</w:t>
      </w:r>
      <w:r>
        <w:rPr>
          <w:sz w:val="28"/>
          <w:szCs w:val="28"/>
        </w:rPr>
        <w:t>ської ради від 28.06.2024 №54-25</w:t>
      </w:r>
      <w:r w:rsidRPr="00CB5CDB">
        <w:rPr>
          <w:sz w:val="28"/>
          <w:szCs w:val="28"/>
        </w:rPr>
        <w:t>/</w:t>
      </w:r>
      <w:r w:rsidRPr="00CB5CDB">
        <w:rPr>
          <w:sz w:val="28"/>
          <w:szCs w:val="28"/>
          <w:lang w:val="en-US"/>
        </w:rPr>
        <w:t>V</w:t>
      </w:r>
      <w:r w:rsidRPr="00CB5CDB">
        <w:rPr>
          <w:sz w:val="28"/>
          <w:szCs w:val="28"/>
        </w:rPr>
        <w:t>ІІІ</w:t>
      </w:r>
    </w:p>
    <w:p w:rsidR="002058B3" w:rsidRPr="00CB5CDB" w:rsidRDefault="002058B3" w:rsidP="002058B3">
      <w:pPr>
        <w:jc w:val="center"/>
        <w:rPr>
          <w:b/>
          <w:sz w:val="28"/>
        </w:rPr>
      </w:pPr>
    </w:p>
    <w:p w:rsidR="002058B3" w:rsidRPr="007A05AE" w:rsidRDefault="002058B3" w:rsidP="002058B3">
      <w:pPr>
        <w:ind w:right="-1" w:firstLine="5529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  <w:u w:val="single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  <w:u w:val="single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  <w:u w:val="single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  <w:u w:val="single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  <w:u w:val="single"/>
        </w:rPr>
      </w:pPr>
    </w:p>
    <w:p w:rsidR="002058B3" w:rsidRPr="00BE5992" w:rsidRDefault="002058B3" w:rsidP="002058B3">
      <w:pPr>
        <w:ind w:right="-1"/>
        <w:jc w:val="center"/>
        <w:rPr>
          <w:b/>
          <w:bCs/>
          <w:sz w:val="32"/>
          <w:szCs w:val="32"/>
        </w:rPr>
      </w:pPr>
      <w:r w:rsidRPr="00BE5992">
        <w:rPr>
          <w:b/>
          <w:bCs/>
          <w:sz w:val="32"/>
          <w:szCs w:val="32"/>
        </w:rPr>
        <w:t>Програма</w:t>
      </w:r>
    </w:p>
    <w:p w:rsidR="002058B3" w:rsidRPr="00BE5992" w:rsidRDefault="002058B3" w:rsidP="002058B3">
      <w:pPr>
        <w:ind w:right="-1"/>
        <w:jc w:val="center"/>
        <w:rPr>
          <w:b/>
          <w:bCs/>
          <w:sz w:val="32"/>
          <w:szCs w:val="32"/>
        </w:rPr>
      </w:pPr>
      <w:r w:rsidRPr="00BE5992">
        <w:rPr>
          <w:b/>
          <w:bCs/>
          <w:sz w:val="32"/>
          <w:szCs w:val="32"/>
        </w:rPr>
        <w:t xml:space="preserve">«Підтримка військових частин Збройних Сил України» </w:t>
      </w:r>
    </w:p>
    <w:p w:rsidR="002058B3" w:rsidRPr="00BE5992" w:rsidRDefault="002058B3" w:rsidP="002058B3">
      <w:pPr>
        <w:ind w:right="-1"/>
        <w:jc w:val="center"/>
        <w:rPr>
          <w:b/>
          <w:bCs/>
          <w:sz w:val="32"/>
          <w:szCs w:val="32"/>
        </w:rPr>
      </w:pPr>
      <w:r w:rsidRPr="00BE5992">
        <w:rPr>
          <w:b/>
          <w:bCs/>
          <w:sz w:val="32"/>
          <w:szCs w:val="32"/>
        </w:rPr>
        <w:t xml:space="preserve"> на 202</w:t>
      </w:r>
      <w:r>
        <w:rPr>
          <w:b/>
          <w:bCs/>
          <w:sz w:val="32"/>
          <w:szCs w:val="32"/>
        </w:rPr>
        <w:t>5-2027 роки</w:t>
      </w:r>
    </w:p>
    <w:p w:rsidR="002058B3" w:rsidRPr="00BE5992" w:rsidRDefault="002058B3" w:rsidP="002058B3">
      <w:pPr>
        <w:ind w:right="-1"/>
        <w:rPr>
          <w:b/>
          <w:bCs/>
          <w:sz w:val="32"/>
          <w:szCs w:val="32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Default="002058B3" w:rsidP="002058B3">
      <w:pPr>
        <w:ind w:right="-1"/>
        <w:rPr>
          <w:sz w:val="28"/>
          <w:szCs w:val="28"/>
        </w:rPr>
      </w:pPr>
    </w:p>
    <w:p w:rsidR="00626AE3" w:rsidRDefault="00626AE3" w:rsidP="002058B3">
      <w:pPr>
        <w:ind w:right="-1"/>
        <w:rPr>
          <w:sz w:val="28"/>
          <w:szCs w:val="28"/>
        </w:rPr>
      </w:pPr>
    </w:p>
    <w:p w:rsidR="00626AE3" w:rsidRDefault="00626AE3" w:rsidP="002058B3">
      <w:pPr>
        <w:ind w:right="-1"/>
        <w:rPr>
          <w:sz w:val="28"/>
          <w:szCs w:val="28"/>
        </w:rPr>
      </w:pPr>
    </w:p>
    <w:p w:rsidR="00626AE3" w:rsidRDefault="00626AE3" w:rsidP="002058B3">
      <w:pPr>
        <w:ind w:right="-1"/>
        <w:rPr>
          <w:sz w:val="28"/>
          <w:szCs w:val="28"/>
        </w:rPr>
      </w:pPr>
    </w:p>
    <w:p w:rsidR="00626AE3" w:rsidRPr="007A05AE" w:rsidRDefault="00626AE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rPr>
          <w:sz w:val="28"/>
          <w:szCs w:val="28"/>
        </w:rPr>
      </w:pPr>
    </w:p>
    <w:p w:rsidR="002058B3" w:rsidRPr="007A05AE" w:rsidRDefault="002058B3" w:rsidP="002058B3">
      <w:pPr>
        <w:ind w:right="-1"/>
        <w:jc w:val="center"/>
        <w:rPr>
          <w:b/>
          <w:sz w:val="28"/>
          <w:szCs w:val="28"/>
        </w:rPr>
      </w:pPr>
      <w:proofErr w:type="spellStart"/>
      <w:r w:rsidRPr="007A05AE">
        <w:rPr>
          <w:b/>
          <w:sz w:val="28"/>
          <w:szCs w:val="28"/>
        </w:rPr>
        <w:t>с.Степанки</w:t>
      </w:r>
      <w:proofErr w:type="spellEnd"/>
    </w:p>
    <w:p w:rsidR="00626AE3" w:rsidRPr="00626AE3" w:rsidRDefault="002058B3" w:rsidP="00626AE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Pr="007A05AE">
        <w:rPr>
          <w:b/>
          <w:sz w:val="28"/>
          <w:szCs w:val="28"/>
        </w:rPr>
        <w:t xml:space="preserve"> рік</w:t>
      </w:r>
    </w:p>
    <w:p w:rsidR="002058B3" w:rsidRDefault="002058B3" w:rsidP="002058B3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lastRenderedPageBreak/>
        <w:t>І. Паспорт Програми</w:t>
      </w:r>
    </w:p>
    <w:p w:rsidR="00626AE3" w:rsidRPr="007A05AE" w:rsidRDefault="00626AE3" w:rsidP="002058B3">
      <w:pPr>
        <w:ind w:right="-1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426"/>
        <w:gridCol w:w="6087"/>
      </w:tblGrid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 w:firstLine="5529"/>
              <w:rPr>
                <w:sz w:val="28"/>
                <w:szCs w:val="28"/>
              </w:rPr>
            </w:pPr>
          </w:p>
          <w:p w:rsidR="002058B3" w:rsidRPr="007A05AE" w:rsidRDefault="002058B3" w:rsidP="0001130B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Виконавчий комітет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ради</w:t>
            </w:r>
          </w:p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Розпорядчі документи, відповідно до яких розроблено Програму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Закон України «Про місцеве самоврядування в Україні», ст. 91 та ст. 22</w:t>
            </w:r>
            <w:r w:rsidRPr="007A05AE">
              <w:rPr>
                <w:sz w:val="28"/>
                <w:szCs w:val="28"/>
                <w:vertAlign w:val="superscript"/>
              </w:rPr>
              <w:t xml:space="preserve">2  </w:t>
            </w:r>
            <w:r w:rsidRPr="007A05AE">
              <w:rPr>
                <w:sz w:val="28"/>
                <w:szCs w:val="28"/>
              </w:rPr>
              <w:t xml:space="preserve">розділу </w:t>
            </w:r>
            <w:r w:rsidRPr="007A05AE">
              <w:rPr>
                <w:sz w:val="28"/>
                <w:szCs w:val="28"/>
                <w:lang w:val="en-US"/>
              </w:rPr>
              <w:t>VI</w:t>
            </w:r>
            <w:r w:rsidRPr="007A05AE">
              <w:rPr>
                <w:sz w:val="28"/>
                <w:szCs w:val="28"/>
              </w:rPr>
              <w:t xml:space="preserve"> «Прикінцеві та перехідні положення» Бюджетного Кодексу України</w:t>
            </w: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 w:firstLine="5529"/>
              <w:rPr>
                <w:sz w:val="28"/>
                <w:szCs w:val="28"/>
                <w:lang w:val="ru-RU"/>
              </w:rPr>
            </w:pPr>
          </w:p>
          <w:p w:rsidR="002058B3" w:rsidRPr="007A05AE" w:rsidRDefault="002058B3" w:rsidP="0001130B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A05AE">
              <w:rPr>
                <w:sz w:val="28"/>
                <w:szCs w:val="28"/>
              </w:rPr>
              <w:t>иконавчі</w:t>
            </w:r>
            <w:proofErr w:type="spellEnd"/>
            <w:r w:rsidRPr="007A05AE">
              <w:rPr>
                <w:sz w:val="28"/>
                <w:szCs w:val="28"/>
              </w:rPr>
              <w:t xml:space="preserve"> органи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ради</w:t>
            </w:r>
          </w:p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Військові частини Збройних Сил України </w:t>
            </w:r>
          </w:p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Фінансовий відділ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ради </w:t>
            </w:r>
          </w:p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Виконавчий комітет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ради</w:t>
            </w:r>
          </w:p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(в частині перерахунку міжбюджетних трансфертів),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Степанківська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сільська рада,</w:t>
            </w:r>
            <w:r w:rsidRPr="00626AE3">
              <w:rPr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Міністерство оборони України, </w:t>
            </w:r>
          </w:p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Черкаська обласна військова адміністрація, </w:t>
            </w:r>
          </w:p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:lang w:eastAsia="ru-RU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Черкаська районна військова адміністрація</w:t>
            </w:r>
          </w:p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 xml:space="preserve">Військові частини Збройних Сил України </w:t>
            </w:r>
          </w:p>
          <w:p w:rsidR="002058B3" w:rsidRPr="007A05AE" w:rsidRDefault="002058B3" w:rsidP="0001130B">
            <w:pPr>
              <w:suppressAutoHyphens w:val="0"/>
              <w:jc w:val="both"/>
              <w:rPr>
                <w:color w:val="00B0F0"/>
                <w:sz w:val="28"/>
                <w:szCs w:val="28"/>
              </w:rPr>
            </w:pP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2025-2027 роки</w:t>
            </w: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Місцевий бюджет, державний бюджет та інші джерела не заборонені законодавством</w:t>
            </w: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rFonts w:cs="Microsoft Sans Serif"/>
                <w:color w:val="000000" w:themeColor="text1"/>
                <w:sz w:val="28"/>
                <w:szCs w:val="28"/>
                <w:lang w:eastAsia="uk-UA" w:bidi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Фінансування Програми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rFonts w:cs="Microsoft Sans Serif"/>
                <w:color w:val="000000" w:themeColor="text1"/>
                <w:sz w:val="28"/>
                <w:szCs w:val="28"/>
                <w:lang w:eastAsia="uk-UA" w:bidi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Фінансування за рахунок коштів бюджету </w:t>
            </w:r>
            <w:proofErr w:type="spellStart"/>
            <w:r w:rsidRPr="00626AE3">
              <w:rPr>
                <w:rFonts w:cs="Microsoft Sans Serif"/>
                <w:color w:val="000000" w:themeColor="text1"/>
                <w:sz w:val="28"/>
                <w:szCs w:val="28"/>
                <w:lang w:eastAsia="uk-UA" w:bidi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rFonts w:cs="Microsoft Sans Serif"/>
                <w:color w:val="000000" w:themeColor="text1"/>
                <w:sz w:val="28"/>
                <w:szCs w:val="28"/>
                <w:lang w:eastAsia="uk-UA" w:bidi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2058B3" w:rsidRPr="007A05AE" w:rsidTr="0001130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Головний розпорядник коштів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626AE3" w:rsidRDefault="002058B3" w:rsidP="0001130B">
            <w:pPr>
              <w:suppressAutoHyphens w:val="0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Виконавчий комітет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ради</w:t>
            </w:r>
          </w:p>
        </w:tc>
      </w:tr>
    </w:tbl>
    <w:p w:rsidR="002058B3" w:rsidRDefault="002058B3" w:rsidP="002058B3">
      <w:pPr>
        <w:ind w:right="-1"/>
        <w:rPr>
          <w:b/>
          <w:bCs/>
          <w:sz w:val="28"/>
          <w:szCs w:val="28"/>
          <w:lang w:eastAsia="en-US"/>
        </w:rPr>
      </w:pPr>
    </w:p>
    <w:p w:rsidR="00626AE3" w:rsidRPr="007A05AE" w:rsidRDefault="00626AE3" w:rsidP="002058B3">
      <w:pPr>
        <w:ind w:right="-1"/>
        <w:rPr>
          <w:b/>
          <w:bCs/>
          <w:sz w:val="28"/>
          <w:szCs w:val="28"/>
        </w:rPr>
      </w:pPr>
    </w:p>
    <w:p w:rsidR="002058B3" w:rsidRPr="007A05AE" w:rsidRDefault="002058B3" w:rsidP="002058B3">
      <w:pPr>
        <w:ind w:right="-1"/>
        <w:rPr>
          <w:b/>
          <w:bCs/>
          <w:sz w:val="28"/>
          <w:szCs w:val="28"/>
        </w:rPr>
      </w:pPr>
    </w:p>
    <w:p w:rsidR="002058B3" w:rsidRPr="007A05AE" w:rsidRDefault="002058B3" w:rsidP="002058B3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ІІ. Визначення проблеми, на розв’язання</w:t>
      </w:r>
    </w:p>
    <w:p w:rsidR="002058B3" w:rsidRPr="007A05AE" w:rsidRDefault="002058B3" w:rsidP="002058B3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якої спрямована Програма</w:t>
      </w: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ab/>
        <w:t xml:space="preserve">В зв’язку зі збройною агресією російської федерації, ситуація в країні залишається напруженою. Збройні сили російської федерації не припиняють спроб наступу на сході та півдні нашої держави. Збройна </w:t>
      </w:r>
      <w:r w:rsidRPr="007A05AE">
        <w:rPr>
          <w:sz w:val="28"/>
          <w:szCs w:val="28"/>
        </w:rPr>
        <w:lastRenderedPageBreak/>
        <w:t>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ab/>
        <w:t>Таке становище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ab/>
        <w:t>Зазначені умови викликають необхідність формування нової ідеології запровадження на державному та місцевому рівнях невідкладних заходів, у тому числі розроблення цієї Програми і реалізації передбачених нею заходів.</w:t>
      </w:r>
    </w:p>
    <w:p w:rsidR="002058B3" w:rsidRPr="007A05AE" w:rsidRDefault="002058B3" w:rsidP="002058B3">
      <w:pPr>
        <w:pStyle w:val="ad"/>
        <w:ind w:firstLine="567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</w:pPr>
      <w:r w:rsidRPr="007A05AE">
        <w:rPr>
          <w:sz w:val="28"/>
          <w:szCs w:val="28"/>
        </w:rPr>
        <w:tab/>
      </w:r>
      <w:r w:rsidRPr="007A05AE">
        <w:rPr>
          <w:rFonts w:ascii="Times New Roman" w:hAnsi="Times New Roman" w:cs="Times New Roman"/>
          <w:sz w:val="28"/>
          <w:szCs w:val="28"/>
        </w:rPr>
        <w:t>Програма передбачає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розв’язання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проблем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матеріально-технічного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забезпечення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військових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частин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та підрозділів </w:t>
      </w:r>
      <w:r w:rsidRPr="007A05AE">
        <w:rPr>
          <w:rFonts w:ascii="Times New Roman" w:hAnsi="Times New Roman" w:cs="Times New Roman"/>
          <w:sz w:val="28"/>
          <w:szCs w:val="28"/>
        </w:rPr>
        <w:t>Збройних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С</w:t>
      </w:r>
      <w:r w:rsidRPr="007A05AE">
        <w:rPr>
          <w:rFonts w:ascii="Times New Roman" w:hAnsi="Times New Roman" w:cs="Times New Roman"/>
          <w:sz w:val="28"/>
          <w:szCs w:val="28"/>
        </w:rPr>
        <w:t>ил</w:t>
      </w:r>
      <w:r w:rsidRPr="007A05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05AE">
        <w:rPr>
          <w:rFonts w:ascii="Times New Roman" w:hAnsi="Times New Roman" w:cs="Times New Roman"/>
          <w:sz w:val="28"/>
          <w:szCs w:val="28"/>
        </w:rPr>
        <w:t>України та спрямована на реалізацію державної політики у сфері захисту</w:t>
      </w:r>
      <w:r w:rsidRPr="007A05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 xml:space="preserve"> суверенітету,</w:t>
      </w:r>
      <w:r w:rsidRPr="007A05AE">
        <w:rPr>
          <w:rFonts w:ascii="Times New Roman" w:hAnsi="Times New Roman" w:cs="Times New Roman"/>
          <w:sz w:val="28"/>
          <w:szCs w:val="28"/>
        </w:rPr>
        <w:t xml:space="preserve"> незалежності та територіальної цілісності держави на період введення воєнного стану на території України</w:t>
      </w:r>
      <w:r w:rsidRPr="007A05AE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.</w:t>
      </w:r>
    </w:p>
    <w:p w:rsidR="002058B3" w:rsidRPr="007A05AE" w:rsidRDefault="002058B3" w:rsidP="002058B3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 w:rsidRPr="007A05AE">
        <w:rPr>
          <w:sz w:val="28"/>
          <w:szCs w:val="28"/>
          <w:shd w:val="clear" w:color="auto" w:fill="FFFFFF"/>
          <w:lang w:eastAsia="ru-RU"/>
        </w:rPr>
        <w:t>Цільова</w:t>
      </w:r>
      <w:r w:rsidRPr="007A05AE">
        <w:rPr>
          <w:sz w:val="28"/>
          <w:szCs w:val="28"/>
          <w:lang w:eastAsia="uk-UA"/>
        </w:rPr>
        <w:t xml:space="preserve"> Програма</w:t>
      </w:r>
      <w:r w:rsidRPr="007A05AE">
        <w:rPr>
          <w:sz w:val="28"/>
          <w:szCs w:val="28"/>
        </w:rPr>
        <w:t xml:space="preserve"> підтримки військових частин Збройних Сил України в 2024 році</w:t>
      </w:r>
      <w:r w:rsidRPr="007A05AE">
        <w:rPr>
          <w:sz w:val="28"/>
          <w:szCs w:val="28"/>
          <w:lang w:eastAsia="uk-UA"/>
        </w:rPr>
        <w:t xml:space="preserve"> (далі - Програма) розроблена відповідно до положень Конституції України, </w:t>
      </w:r>
      <w:r w:rsidRPr="007A05AE">
        <w:rPr>
          <w:sz w:val="28"/>
          <w:szCs w:val="28"/>
        </w:rPr>
        <w:t>Закону України «Про оборону України», Закону України «Про Збройні Сили України», Указу Президента  України від 11.02.2016 №44/2016  «Про шефську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Україні», затвердженого Законом України «Про затвердження Указу Президента України  «Про введення воєнного стану в Україні» від 24.02.2022 № 2102/</w:t>
      </w:r>
      <w:r w:rsidRPr="007A05AE">
        <w:rPr>
          <w:sz w:val="28"/>
          <w:szCs w:val="28"/>
          <w:lang w:val="en-US"/>
        </w:rPr>
        <w:t>IX</w:t>
      </w:r>
      <w:r w:rsidRPr="007A05AE">
        <w:rPr>
          <w:sz w:val="28"/>
          <w:szCs w:val="28"/>
        </w:rPr>
        <w:t xml:space="preserve"> зі змінами, Закону України «Про місцеве самоврядування в Україні», Бюджетного Кодексу України.</w:t>
      </w:r>
    </w:p>
    <w:p w:rsidR="002058B3" w:rsidRPr="007A05AE" w:rsidRDefault="002058B3" w:rsidP="002058B3">
      <w:pPr>
        <w:tabs>
          <w:tab w:val="left" w:pos="567"/>
        </w:tabs>
        <w:ind w:firstLine="709"/>
        <w:jc w:val="both"/>
        <w:rPr>
          <w:sz w:val="28"/>
          <w:szCs w:val="28"/>
          <w:lang w:eastAsia="uk-UA"/>
        </w:rPr>
      </w:pPr>
    </w:p>
    <w:p w:rsidR="002058B3" w:rsidRPr="007A05AE" w:rsidRDefault="002058B3" w:rsidP="002058B3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>ІІІ. Мета та завдання Програми</w:t>
      </w:r>
    </w:p>
    <w:p w:rsidR="002058B3" w:rsidRPr="007A05AE" w:rsidRDefault="002058B3" w:rsidP="002058B3">
      <w:pPr>
        <w:ind w:right="-1"/>
        <w:jc w:val="both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</w:rPr>
        <w:tab/>
      </w:r>
      <w:r w:rsidRPr="007A05AE">
        <w:rPr>
          <w:sz w:val="28"/>
          <w:szCs w:val="28"/>
          <w:bdr w:val="none" w:sz="0" w:space="0" w:color="auto" w:frame="1"/>
          <w:lang w:eastAsia="uk-UA"/>
        </w:rPr>
        <w:t>Метою Програми є забезпечення належних умов для якісного виконання завдань  та  підтримки  високого  рівня  боєготовності  військових частин Збройних сил України, а саме:</w:t>
      </w:r>
    </w:p>
    <w:p w:rsidR="002058B3" w:rsidRPr="007A05AE" w:rsidRDefault="002058B3" w:rsidP="002058B3">
      <w:pPr>
        <w:numPr>
          <w:ilvl w:val="0"/>
          <w:numId w:val="1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підвищення обороноздатності та мобілізаційної  готовності держави;</w:t>
      </w:r>
    </w:p>
    <w:p w:rsidR="002058B3" w:rsidRPr="007A05AE" w:rsidRDefault="002058B3" w:rsidP="002058B3">
      <w:pPr>
        <w:numPr>
          <w:ilvl w:val="0"/>
          <w:numId w:val="1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Arial" w:hAnsi="Arial" w:cs="Arial"/>
          <w:sz w:val="28"/>
          <w:szCs w:val="28"/>
          <w:lang w:eastAsia="uk-UA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створення  умов  для  повноцінної  підготовки  до  виконання  поста-</w:t>
      </w:r>
      <w:proofErr w:type="spellStart"/>
      <w:r w:rsidRPr="007A05AE">
        <w:rPr>
          <w:sz w:val="28"/>
          <w:szCs w:val="28"/>
          <w:bdr w:val="none" w:sz="0" w:space="0" w:color="auto" w:frame="1"/>
          <w:lang w:eastAsia="uk-UA"/>
        </w:rPr>
        <w:t>влених</w:t>
      </w:r>
      <w:proofErr w:type="spellEnd"/>
      <w:r w:rsidRPr="007A05AE">
        <w:rPr>
          <w:sz w:val="28"/>
          <w:szCs w:val="28"/>
          <w:bdr w:val="none" w:sz="0" w:space="0" w:color="auto" w:frame="1"/>
          <w:lang w:eastAsia="uk-UA"/>
        </w:rPr>
        <w:t xml:space="preserve"> завдань перед військовими частинами;</w:t>
      </w:r>
    </w:p>
    <w:p w:rsidR="002058B3" w:rsidRPr="007A05AE" w:rsidRDefault="002058B3" w:rsidP="002058B3">
      <w:pPr>
        <w:numPr>
          <w:ilvl w:val="0"/>
          <w:numId w:val="1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Calibri" w:eastAsia="Calibri" w:hAnsi="Calibri"/>
          <w:sz w:val="28"/>
          <w:szCs w:val="28"/>
          <w:lang w:eastAsia="zh-CN"/>
        </w:rPr>
      </w:pPr>
      <w:r w:rsidRPr="007A05AE">
        <w:rPr>
          <w:sz w:val="28"/>
          <w:szCs w:val="28"/>
          <w:bdr w:val="none" w:sz="0" w:space="0" w:color="auto" w:frame="1"/>
          <w:lang w:eastAsia="uk-UA"/>
        </w:rPr>
        <w:t>зміцнення  співпраці  між  органами  місцевого  самоврядування  та військовими формуваннями, що створює умови для розширення сфери застосування праці;</w:t>
      </w:r>
      <w:r w:rsidRPr="007A05AE">
        <w:rPr>
          <w:sz w:val="28"/>
          <w:szCs w:val="28"/>
        </w:rPr>
        <w:t xml:space="preserve"> </w:t>
      </w:r>
    </w:p>
    <w:p w:rsidR="002058B3" w:rsidRPr="007A05AE" w:rsidRDefault="002058B3" w:rsidP="002058B3">
      <w:pPr>
        <w:numPr>
          <w:ilvl w:val="0"/>
          <w:numId w:val="1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eastAsia="Calibri"/>
          <w:sz w:val="28"/>
          <w:szCs w:val="28"/>
          <w:lang w:eastAsia="zh-CN"/>
        </w:rPr>
      </w:pPr>
      <w:r w:rsidRPr="007A05AE">
        <w:rPr>
          <w:sz w:val="28"/>
          <w:szCs w:val="28"/>
        </w:rPr>
        <w:t xml:space="preserve">розв’язання соціально-побутових проблем, задоволення культурних і духовних потреб військовослужбовців, </w:t>
      </w:r>
    </w:p>
    <w:p w:rsidR="002058B3" w:rsidRPr="007A05AE" w:rsidRDefault="002058B3" w:rsidP="002058B3">
      <w:pPr>
        <w:pStyle w:val="a7"/>
        <w:numPr>
          <w:ilvl w:val="0"/>
          <w:numId w:val="1"/>
        </w:numPr>
        <w:tabs>
          <w:tab w:val="left" w:pos="1602"/>
        </w:tabs>
        <w:spacing w:after="200"/>
        <w:contextualSpacing w:val="0"/>
        <w:rPr>
          <w:sz w:val="28"/>
          <w:szCs w:val="28"/>
        </w:rPr>
      </w:pPr>
      <w:r w:rsidRPr="007A05AE">
        <w:rPr>
          <w:sz w:val="28"/>
          <w:szCs w:val="28"/>
        </w:rPr>
        <w:t>налагодження</w:t>
      </w:r>
      <w:r w:rsidRPr="007A05AE">
        <w:rPr>
          <w:spacing w:val="-6"/>
          <w:sz w:val="28"/>
          <w:szCs w:val="28"/>
        </w:rPr>
        <w:t xml:space="preserve"> </w:t>
      </w:r>
      <w:r w:rsidRPr="007A05AE">
        <w:rPr>
          <w:sz w:val="28"/>
          <w:szCs w:val="28"/>
        </w:rPr>
        <w:t>ефективного</w:t>
      </w:r>
      <w:r w:rsidRPr="007A05AE">
        <w:rPr>
          <w:spacing w:val="-7"/>
          <w:sz w:val="28"/>
          <w:szCs w:val="28"/>
        </w:rPr>
        <w:t xml:space="preserve"> </w:t>
      </w:r>
      <w:r w:rsidRPr="007A05AE">
        <w:rPr>
          <w:sz w:val="28"/>
          <w:szCs w:val="28"/>
        </w:rPr>
        <w:t>цивільно-військового</w:t>
      </w:r>
      <w:r w:rsidRPr="007A05AE">
        <w:rPr>
          <w:spacing w:val="-5"/>
          <w:sz w:val="28"/>
          <w:szCs w:val="28"/>
        </w:rPr>
        <w:t xml:space="preserve"> </w:t>
      </w:r>
      <w:r w:rsidRPr="007A05AE">
        <w:rPr>
          <w:sz w:val="28"/>
          <w:szCs w:val="28"/>
        </w:rPr>
        <w:t>співробітництва;</w:t>
      </w:r>
    </w:p>
    <w:p w:rsidR="002058B3" w:rsidRPr="007A05AE" w:rsidRDefault="002058B3" w:rsidP="002058B3">
      <w:pPr>
        <w:pStyle w:val="a7"/>
        <w:numPr>
          <w:ilvl w:val="0"/>
          <w:numId w:val="1"/>
        </w:numPr>
        <w:tabs>
          <w:tab w:val="left" w:pos="1603"/>
        </w:tabs>
        <w:spacing w:after="200"/>
        <w:contextualSpacing w:val="0"/>
        <w:rPr>
          <w:sz w:val="28"/>
          <w:szCs w:val="28"/>
        </w:rPr>
      </w:pPr>
      <w:r w:rsidRPr="007A05AE">
        <w:rPr>
          <w:sz w:val="28"/>
          <w:szCs w:val="28"/>
        </w:rPr>
        <w:t>охорона</w:t>
      </w:r>
      <w:r w:rsidRPr="007A05AE">
        <w:rPr>
          <w:spacing w:val="19"/>
          <w:sz w:val="28"/>
          <w:szCs w:val="28"/>
        </w:rPr>
        <w:t xml:space="preserve"> </w:t>
      </w:r>
      <w:r w:rsidRPr="007A05AE">
        <w:rPr>
          <w:sz w:val="28"/>
          <w:szCs w:val="28"/>
        </w:rPr>
        <w:t>та</w:t>
      </w:r>
      <w:r w:rsidRPr="007A05AE">
        <w:rPr>
          <w:spacing w:val="18"/>
          <w:sz w:val="28"/>
          <w:szCs w:val="28"/>
        </w:rPr>
        <w:t xml:space="preserve"> </w:t>
      </w:r>
      <w:r w:rsidRPr="007A05AE">
        <w:rPr>
          <w:sz w:val="28"/>
          <w:szCs w:val="28"/>
        </w:rPr>
        <w:t>оборона</w:t>
      </w:r>
      <w:r w:rsidRPr="007A05AE">
        <w:rPr>
          <w:spacing w:val="22"/>
          <w:sz w:val="28"/>
          <w:szCs w:val="28"/>
        </w:rPr>
        <w:t xml:space="preserve"> </w:t>
      </w:r>
      <w:r w:rsidRPr="007A05AE">
        <w:rPr>
          <w:sz w:val="28"/>
          <w:szCs w:val="28"/>
        </w:rPr>
        <w:t>важливих</w:t>
      </w:r>
      <w:r w:rsidRPr="007A05AE">
        <w:rPr>
          <w:spacing w:val="19"/>
          <w:sz w:val="28"/>
          <w:szCs w:val="28"/>
        </w:rPr>
        <w:t xml:space="preserve"> </w:t>
      </w:r>
      <w:r w:rsidRPr="007A05AE">
        <w:rPr>
          <w:sz w:val="28"/>
          <w:szCs w:val="28"/>
        </w:rPr>
        <w:t>об’єктів</w:t>
      </w:r>
      <w:r w:rsidRPr="007A05AE">
        <w:rPr>
          <w:spacing w:val="20"/>
          <w:sz w:val="28"/>
          <w:szCs w:val="28"/>
        </w:rPr>
        <w:t xml:space="preserve"> </w:t>
      </w:r>
      <w:r w:rsidRPr="007A05AE">
        <w:rPr>
          <w:sz w:val="28"/>
          <w:szCs w:val="28"/>
        </w:rPr>
        <w:t>і</w:t>
      </w:r>
      <w:r w:rsidRPr="007A05AE">
        <w:rPr>
          <w:spacing w:val="19"/>
          <w:sz w:val="28"/>
          <w:szCs w:val="28"/>
        </w:rPr>
        <w:t xml:space="preserve"> </w:t>
      </w:r>
      <w:r w:rsidRPr="007A05AE">
        <w:rPr>
          <w:sz w:val="28"/>
          <w:szCs w:val="28"/>
        </w:rPr>
        <w:t>комунікацій</w:t>
      </w:r>
      <w:r w:rsidRPr="007A05AE">
        <w:rPr>
          <w:spacing w:val="22"/>
          <w:sz w:val="28"/>
          <w:szCs w:val="28"/>
        </w:rPr>
        <w:t xml:space="preserve"> </w:t>
      </w:r>
      <w:r w:rsidRPr="007A05AE">
        <w:rPr>
          <w:sz w:val="28"/>
          <w:szCs w:val="28"/>
        </w:rPr>
        <w:t>в</w:t>
      </w:r>
      <w:r w:rsidRPr="007A05AE">
        <w:rPr>
          <w:spacing w:val="18"/>
          <w:sz w:val="28"/>
          <w:szCs w:val="28"/>
        </w:rPr>
        <w:t xml:space="preserve"> </w:t>
      </w:r>
      <w:r w:rsidRPr="007A05AE">
        <w:rPr>
          <w:sz w:val="28"/>
          <w:szCs w:val="28"/>
        </w:rPr>
        <w:t>умовах</w:t>
      </w:r>
      <w:r w:rsidRPr="007A05AE">
        <w:rPr>
          <w:spacing w:val="-67"/>
          <w:sz w:val="28"/>
          <w:szCs w:val="28"/>
        </w:rPr>
        <w:t xml:space="preserve"> </w:t>
      </w:r>
      <w:r w:rsidRPr="007A05AE">
        <w:rPr>
          <w:sz w:val="28"/>
          <w:szCs w:val="28"/>
        </w:rPr>
        <w:t>особливого</w:t>
      </w:r>
      <w:r w:rsidRPr="007A05AE">
        <w:rPr>
          <w:spacing w:val="-1"/>
          <w:sz w:val="28"/>
          <w:szCs w:val="28"/>
        </w:rPr>
        <w:t xml:space="preserve"> </w:t>
      </w:r>
      <w:r w:rsidRPr="007A05AE">
        <w:rPr>
          <w:sz w:val="28"/>
          <w:szCs w:val="28"/>
        </w:rPr>
        <w:t>періоду;</w:t>
      </w:r>
    </w:p>
    <w:p w:rsidR="002058B3" w:rsidRPr="007A05AE" w:rsidRDefault="002058B3" w:rsidP="002058B3">
      <w:pPr>
        <w:pStyle w:val="a7"/>
        <w:numPr>
          <w:ilvl w:val="0"/>
          <w:numId w:val="1"/>
        </w:numPr>
        <w:tabs>
          <w:tab w:val="left" w:pos="1602"/>
        </w:tabs>
        <w:spacing w:after="200"/>
        <w:contextualSpacing w:val="0"/>
        <w:rPr>
          <w:sz w:val="28"/>
          <w:szCs w:val="28"/>
        </w:rPr>
      </w:pPr>
      <w:r w:rsidRPr="007A05AE">
        <w:rPr>
          <w:sz w:val="28"/>
          <w:szCs w:val="28"/>
        </w:rPr>
        <w:lastRenderedPageBreak/>
        <w:t>матеріально-технічне</w:t>
      </w:r>
      <w:r w:rsidRPr="007A05AE">
        <w:rPr>
          <w:spacing w:val="1"/>
          <w:sz w:val="28"/>
          <w:szCs w:val="28"/>
        </w:rPr>
        <w:t xml:space="preserve"> </w:t>
      </w:r>
      <w:r w:rsidRPr="007A05AE">
        <w:rPr>
          <w:sz w:val="28"/>
          <w:szCs w:val="28"/>
        </w:rPr>
        <w:t>забезпечення</w:t>
      </w:r>
      <w:r w:rsidRPr="007A05AE">
        <w:rPr>
          <w:spacing w:val="1"/>
          <w:sz w:val="28"/>
          <w:szCs w:val="28"/>
        </w:rPr>
        <w:t xml:space="preserve"> в/ч ЗСУ</w:t>
      </w:r>
      <w:r w:rsidRPr="007A05AE">
        <w:rPr>
          <w:sz w:val="28"/>
          <w:szCs w:val="28"/>
        </w:rPr>
        <w:t>.</w:t>
      </w:r>
    </w:p>
    <w:p w:rsidR="002058B3" w:rsidRPr="007A05AE" w:rsidRDefault="002058B3" w:rsidP="002058B3">
      <w:pPr>
        <w:numPr>
          <w:ilvl w:val="0"/>
          <w:numId w:val="1"/>
        </w:numPr>
        <w:shd w:val="clear" w:color="auto" w:fill="FFFFFF"/>
        <w:tabs>
          <w:tab w:val="num" w:pos="851"/>
          <w:tab w:val="left" w:pos="1276"/>
        </w:tabs>
        <w:suppressAutoHyphens w:val="0"/>
        <w:ind w:left="0" w:right="225" w:firstLine="709"/>
        <w:jc w:val="both"/>
        <w:rPr>
          <w:rFonts w:ascii="Calibri" w:eastAsia="Calibri" w:hAnsi="Calibri"/>
          <w:sz w:val="28"/>
          <w:szCs w:val="28"/>
          <w:lang w:eastAsia="zh-CN"/>
        </w:rPr>
      </w:pPr>
      <w:r w:rsidRPr="007A05AE">
        <w:rPr>
          <w:sz w:val="28"/>
          <w:szCs w:val="28"/>
        </w:rPr>
        <w:t>піднесення престижу військової служби, налагодження та розвиток ефективного цивільно-військового співробітництва.</w:t>
      </w:r>
    </w:p>
    <w:p w:rsidR="002058B3" w:rsidRPr="007A05AE" w:rsidRDefault="002058B3" w:rsidP="002058B3">
      <w:pPr>
        <w:ind w:right="-1" w:firstLine="567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М</w:t>
      </w:r>
      <w:r w:rsidRPr="007A05AE">
        <w:rPr>
          <w:sz w:val="28"/>
          <w:szCs w:val="28"/>
          <w:lang w:eastAsia="uk-UA"/>
        </w:rPr>
        <w:t xml:space="preserve">ета Програми досягається шляхом залучення фінансових ресурсів з бюджету </w:t>
      </w:r>
      <w:proofErr w:type="spellStart"/>
      <w:r w:rsidRPr="007A05AE">
        <w:rPr>
          <w:sz w:val="28"/>
          <w:szCs w:val="28"/>
          <w:lang w:eastAsia="uk-UA"/>
        </w:rPr>
        <w:t>Степанківської</w:t>
      </w:r>
      <w:proofErr w:type="spellEnd"/>
      <w:r w:rsidRPr="007A05AE">
        <w:rPr>
          <w:sz w:val="28"/>
          <w:szCs w:val="28"/>
          <w:lang w:eastAsia="uk-UA"/>
        </w:rPr>
        <w:t xml:space="preserve"> сільської територіальної громади та інших джерел, незаборонених законодавством, для підвищення обороноздатності України у боротьбі з військовою агресією російської федерації.</w:t>
      </w:r>
      <w:r w:rsidRPr="007A05AE">
        <w:rPr>
          <w:sz w:val="28"/>
          <w:szCs w:val="28"/>
        </w:rPr>
        <w:t xml:space="preserve"> </w:t>
      </w: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</w:p>
    <w:p w:rsidR="002058B3" w:rsidRPr="007A05AE" w:rsidRDefault="002058B3" w:rsidP="002058B3">
      <w:pPr>
        <w:ind w:right="-1"/>
        <w:jc w:val="center"/>
        <w:rPr>
          <w:b/>
          <w:bCs/>
          <w:sz w:val="28"/>
          <w:szCs w:val="28"/>
        </w:rPr>
      </w:pPr>
      <w:r w:rsidRPr="007A05AE">
        <w:rPr>
          <w:b/>
          <w:bCs/>
          <w:sz w:val="28"/>
          <w:szCs w:val="28"/>
          <w:lang w:val="en-US"/>
        </w:rPr>
        <w:t>IV</w:t>
      </w:r>
      <w:r w:rsidRPr="007A05AE">
        <w:rPr>
          <w:b/>
          <w:bCs/>
          <w:sz w:val="28"/>
          <w:szCs w:val="28"/>
        </w:rPr>
        <w:t>. Основні напрями та заходи Програми</w:t>
      </w:r>
    </w:p>
    <w:p w:rsidR="002058B3" w:rsidRPr="007A05AE" w:rsidRDefault="002058B3" w:rsidP="002058B3">
      <w:pPr>
        <w:ind w:right="-1"/>
        <w:jc w:val="center"/>
        <w:rPr>
          <w:b/>
          <w:bCs/>
          <w:sz w:val="28"/>
          <w:szCs w:val="28"/>
        </w:rPr>
      </w:pP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  <w:r w:rsidRPr="007A05AE">
        <w:rPr>
          <w:b/>
          <w:bCs/>
          <w:sz w:val="28"/>
          <w:szCs w:val="28"/>
        </w:rPr>
        <w:tab/>
      </w:r>
      <w:r w:rsidRPr="007A05AE">
        <w:rPr>
          <w:bCs/>
          <w:sz w:val="28"/>
          <w:szCs w:val="28"/>
        </w:rPr>
        <w:t>Основним напрямком Програми є</w:t>
      </w:r>
      <w:r w:rsidRPr="007A05AE">
        <w:rPr>
          <w:b/>
          <w:bCs/>
          <w:sz w:val="28"/>
          <w:szCs w:val="28"/>
        </w:rPr>
        <w:t xml:space="preserve"> </w:t>
      </w:r>
      <w:r w:rsidRPr="007A05AE">
        <w:rPr>
          <w:bCs/>
          <w:sz w:val="28"/>
          <w:szCs w:val="28"/>
        </w:rPr>
        <w:t>з</w:t>
      </w:r>
      <w:r w:rsidRPr="007A05AE">
        <w:rPr>
          <w:sz w:val="28"/>
          <w:szCs w:val="28"/>
        </w:rPr>
        <w:t xml:space="preserve">міцнення матеріально-технічної бази військових частин Збройних Сил України. </w:t>
      </w: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55"/>
        <w:gridCol w:w="4176"/>
        <w:gridCol w:w="2748"/>
        <w:gridCol w:w="2552"/>
      </w:tblGrid>
      <w:tr w:rsidR="002058B3" w:rsidRPr="007A05AE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№ з/п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Найменування</w:t>
            </w:r>
          </w:p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заходів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Виконавці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Термін</w:t>
            </w:r>
          </w:p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виконання та джерела фінансування</w:t>
            </w:r>
          </w:p>
        </w:tc>
      </w:tr>
      <w:tr w:rsidR="002058B3" w:rsidRPr="007A05AE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1.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Придбання матеріально-технічних засобів: продукція, засоби зв’язку, комп’ютерна, організаційна та електронно-обчислювальна техніка, канцелярського та іншого приладдя меблі, побутова техніка, будівельні матеріали, інвентар, інструменти та засоби для господарської діяльності, проведення робіт по освітленню територій військової частини, встановлення засобів зв’язку та оргтехніки.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військові частини Збройних Сил України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</w:rPr>
            </w:pPr>
            <w:r w:rsidRPr="007A05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25-2027 роки</w:t>
            </w:r>
            <w:r w:rsidRPr="007A05AE">
              <w:rPr>
                <w:sz w:val="28"/>
                <w:szCs w:val="28"/>
              </w:rPr>
              <w:t xml:space="preserve">, </w:t>
            </w:r>
          </w:p>
          <w:p w:rsidR="002058B3" w:rsidRPr="007A05AE" w:rsidRDefault="002058B3" w:rsidP="0001130B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</w:t>
            </w:r>
            <w:r w:rsidRPr="007A05AE">
              <w:rPr>
                <w:sz w:val="28"/>
                <w:szCs w:val="28"/>
              </w:rPr>
              <w:t xml:space="preserve">юджет </w:t>
            </w:r>
            <w:proofErr w:type="spellStart"/>
            <w:r w:rsidRPr="007A05AE">
              <w:rPr>
                <w:sz w:val="28"/>
                <w:szCs w:val="28"/>
              </w:rPr>
              <w:t>Степанківської</w:t>
            </w:r>
            <w:proofErr w:type="spellEnd"/>
            <w:r w:rsidRPr="007A05AE">
              <w:rPr>
                <w:sz w:val="28"/>
                <w:szCs w:val="28"/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</w:tc>
      </w:tr>
      <w:tr w:rsidR="002058B3" w:rsidRPr="007A05AE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</w:tr>
      <w:tr w:rsidR="002058B3" w:rsidRPr="007A05AE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Вирішення соціально-побутових проблем: проведення ремонтних, будівельних робіт казарменого фонду, об’єктів соціально-побутового призначення та інших спеціальних споруд, в тому числі захисних (модульних) споруд  та прилеглих територій військових частин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</w:tr>
      <w:tr w:rsidR="002058B3" w:rsidRPr="007A05AE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>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3" w:rsidRPr="007A05AE" w:rsidRDefault="002058B3" w:rsidP="0001130B">
            <w:pPr>
              <w:ind w:right="-1"/>
              <w:rPr>
                <w:sz w:val="28"/>
                <w:szCs w:val="28"/>
                <w:lang w:eastAsia="en-US"/>
              </w:rPr>
            </w:pPr>
            <w:r w:rsidRPr="007A05AE">
              <w:rPr>
                <w:sz w:val="28"/>
                <w:szCs w:val="28"/>
              </w:rPr>
              <w:t xml:space="preserve">Задоволення культурних і духовних потреб військовослужбовців, військово-патріотичного виховання молоді та її підготовки до виконання </w:t>
            </w:r>
            <w:r w:rsidRPr="007A05AE">
              <w:rPr>
                <w:sz w:val="28"/>
                <w:szCs w:val="28"/>
              </w:rPr>
              <w:lastRenderedPageBreak/>
              <w:t>військового обов’язку: виготовлення наочної агітації.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3" w:rsidRPr="007A05AE" w:rsidRDefault="002058B3" w:rsidP="0001130B">
            <w:pPr>
              <w:rPr>
                <w:sz w:val="28"/>
                <w:szCs w:val="28"/>
                <w:lang w:eastAsia="en-US"/>
              </w:rPr>
            </w:pP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49115217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:lang w:eastAsia="zh-C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Передбачати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спрямування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коштів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бойової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готовності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частин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ЗСУ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Міністерство оборони України, Виконавчий комітет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перевезення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особового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складу до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місць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виконання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практичних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дій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в тому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числі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придбання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паливо-мастильних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матеріалів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рідин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запасних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частин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до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автомобілів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а також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автомобільного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транспорту  та</w:t>
            </w:r>
            <w:proofErr w:type="gram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супутнього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обладнання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інструментів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метою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обороноздатності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держави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 (передача субвенції державному бюджету з місцевого бюджету)</w:t>
            </w: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Фінансування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витрат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ремонтні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роботи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відновленню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будівель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споруд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частин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а також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автомобільного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транспорту та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іншої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техніки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метою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обороноздатності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держави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 </w:t>
            </w: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Інші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потреби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згідно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письмовим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поданням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(листом, заявкою)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командування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військові частини Збройних Сил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 </w:t>
            </w: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Передача коштів (трансферту) територіальною громадою за </w:t>
            </w:r>
            <w:r w:rsidRPr="00626AE3">
              <w:rPr>
                <w:color w:val="000000" w:themeColor="text1"/>
                <w:sz w:val="28"/>
                <w:szCs w:val="28"/>
                <w:lang w:val="uk-U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місцем розміщення військової частини або її підрозділів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Степанківська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СТГ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в/ч ЗСУ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3" w:rsidRPr="00626AE3" w:rsidRDefault="002058B3" w:rsidP="0001130B">
            <w:pPr>
              <w:ind w:right="-1"/>
              <w:jc w:val="center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сільської територіальної громади</w:t>
            </w:r>
          </w:p>
        </w:tc>
      </w:tr>
      <w:tr w:rsidR="00626AE3" w:rsidRPr="00626AE3" w:rsidTr="000113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ind w:right="-1"/>
              <w:jc w:val="both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pStyle w:val="ac"/>
              <w:spacing w:line="276" w:lineRule="auto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Заходи та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роботи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мобілізаційної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підготовки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місцевого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значення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а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саме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матеріально-технічне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придбання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паливно-мастильних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матеріалів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 метою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забезпечення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оборони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держави</w:t>
            </w:r>
            <w:proofErr w:type="spellEnd"/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Степанківська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СТГ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в/ч ЗСУ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3" w:rsidRPr="00626AE3" w:rsidRDefault="002058B3" w:rsidP="0001130B">
            <w:pPr>
              <w:ind w:right="-1"/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2025-2027 роки, </w:t>
            </w:r>
          </w:p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бюджет </w:t>
            </w:r>
            <w:proofErr w:type="spellStart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Степанківської</w:t>
            </w:r>
            <w:proofErr w:type="spellEnd"/>
            <w:r w:rsidRPr="00626AE3">
              <w:rPr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сільської територіальної громади</w:t>
            </w:r>
          </w:p>
        </w:tc>
      </w:tr>
      <w:tr w:rsidR="002058B3" w:rsidRPr="00626AE3" w:rsidTr="0001130B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3" w:rsidRPr="00626AE3" w:rsidRDefault="002058B3" w:rsidP="0001130B">
            <w:pPr>
              <w:rPr>
                <w:color w:val="000000" w:themeColor="text1"/>
                <w:sz w:val="28"/>
                <w:szCs w:val="28"/>
                <w:lang w:eastAsia="en-US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6AE3">
              <w:rPr>
                <w:color w:val="000000" w:themeColor="text1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Загальна сума фінансування: обсяг фінансування визначається виходячи з конкретних завдань</w:t>
            </w:r>
          </w:p>
        </w:tc>
      </w:tr>
      <w:bookmarkEnd w:id="0"/>
    </w:tbl>
    <w:p w:rsidR="002058B3" w:rsidRPr="00626AE3" w:rsidRDefault="002058B3" w:rsidP="002058B3">
      <w:pPr>
        <w:ind w:right="-1"/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ind w:right="-1"/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bCs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626AE3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Фінансове забезпечення</w:t>
      </w:r>
    </w:p>
    <w:p w:rsidR="002058B3" w:rsidRPr="00626AE3" w:rsidRDefault="002058B3" w:rsidP="002058B3">
      <w:pPr>
        <w:keepNext/>
        <w:ind w:firstLine="720"/>
        <w:jc w:val="both"/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keepNext/>
        <w:ind w:firstLine="720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Програма передбачає надання підтримки військових частин Збройних Сил України для зміцнення підвищення обороноздатності та мобілізаційної  готовності держави,</w:t>
      </w: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створення умов для повноцінної підготовки до  виконання  поставлених завдань та</w:t>
      </w: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розв’язання проблем їх матеріально-технічного забезпечення</w:t>
      </w:r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058B3" w:rsidRPr="00626AE3" w:rsidRDefault="002058B3" w:rsidP="002058B3">
      <w:pPr>
        <w:ind w:right="-1" w:firstLine="708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Програма передбачає реалізацію вищезазначених завдань за рахунок коштів бюджету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( передача субвенції з місцевого бюджету державному бюджету), враховуючи фінансові можливості бюджету та його пріоритетів.</w:t>
      </w:r>
    </w:p>
    <w:p w:rsidR="002058B3" w:rsidRPr="00626AE3" w:rsidRDefault="002058B3" w:rsidP="002058B3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Джерелом фінансування заходів, передбачених цією Програмою, можуть бути надходження загального та спеціального фондів (в тому числі бюджету розвитку та надходження до цільового фонду) бюджету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громади, кошти Державного бюджету України, інших місцевих бюджетів у вигляді цільових та інших трансфертів (субвенцій, дотацій тощо). </w:t>
      </w:r>
    </w:p>
    <w:p w:rsidR="002058B3" w:rsidRPr="00626AE3" w:rsidRDefault="002058B3" w:rsidP="002058B3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Крім того, фінансовим ресурсом реалізації заходів Програми можуть бути інвестиційні ресурси – добровільні внески підприємств, установ, організацій та фізичних осіб, в тому числі шляхом створення відповідних цільових фондів, а також інші джерела, що не заборонені нормами діючих нормативно-правових актів. </w:t>
      </w:r>
    </w:p>
    <w:p w:rsidR="002058B3" w:rsidRPr="00626AE3" w:rsidRDefault="002058B3" w:rsidP="002058B3">
      <w:pPr>
        <w:ind w:firstLine="567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Фінансування Програми проводиться в межах асигнувань, передбачених у бюджеті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 на відповідний рік, по загальному та спеціальному фондах і може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здійснюватись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 межах діючого бюджетного законодавства по кодах програмної класифікації видатків та кредитування бюджету громади. Орієнтовний обсяг фінансування Програми визначатиметься, виходячи з фінансової спроможності бюджету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СТГ на підставі обґрунтованих розрахунків, поданих виконавцями Програми.</w:t>
      </w:r>
    </w:p>
    <w:p w:rsidR="002058B3" w:rsidRPr="00626AE3" w:rsidRDefault="002058B3" w:rsidP="002058B3">
      <w:pPr>
        <w:ind w:firstLine="567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Розпорядником коштів є виконавчий комітет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ради.</w:t>
      </w:r>
    </w:p>
    <w:p w:rsidR="002058B3" w:rsidRPr="00626AE3" w:rsidRDefault="002058B3" w:rsidP="00205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  <w:t>Обсяги фінансування, спрямовані на здійснення Програми, можуть перерозподілятися протягом бюджетного періоду та бути спрямовані як трансферт до інших бюджетів. У договорі на передачу субвенції чітко вказується мета, на яку планується спрямувати обсяги коштів.</w:t>
      </w:r>
    </w:p>
    <w:p w:rsidR="002058B3" w:rsidRPr="00626AE3" w:rsidRDefault="002058B3" w:rsidP="002058B3">
      <w:pPr>
        <w:tabs>
          <w:tab w:val="left" w:pos="567"/>
          <w:tab w:val="left" w:pos="993"/>
        </w:tabs>
        <w:jc w:val="both"/>
        <w:rPr>
          <w:rFonts w:ascii="Calibri" w:eastAsia="Calibri" w:hAnsi="Calibri"/>
          <w:color w:val="000000" w:themeColor="text1"/>
          <w:sz w:val="28"/>
          <w:szCs w:val="28"/>
          <w:lang w:eastAsia="zh-CN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ind w:right="-1"/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VI. Очікувані результати</w:t>
      </w:r>
    </w:p>
    <w:p w:rsidR="002058B3" w:rsidRPr="00626AE3" w:rsidRDefault="002058B3" w:rsidP="002058B3">
      <w:pPr>
        <w:pStyle w:val="af0"/>
        <w:ind w:firstLine="567"/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За рахунок коштів, що будуть виділятися на реалізацію Програми, планується здійснити заходи, які сприятимуть вирішенню питань за тими напрямами, де спостерігається дефіцит ресурсів з державного бюджету та в цілому забезпечить проведення на належному рівні виконання завдань спрямованих на реалізацію державної політики у сфері захисту</w:t>
      </w:r>
      <w:r w:rsidRPr="00626AE3">
        <w:rPr>
          <w:bCs/>
          <w:color w:val="000000" w:themeColor="text1"/>
          <w:sz w:val="28"/>
          <w:szCs w:val="28"/>
          <w:shd w:val="clear" w:color="auto" w:fill="FFFFFF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суверенітету,</w:t>
      </w:r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незалежності та територіальної цілісності держави. Виконання Програми </w:t>
      </w:r>
      <w:proofErr w:type="spellStart"/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надасть</w:t>
      </w:r>
      <w:proofErr w:type="spellEnd"/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можливість вирішити низку питань щодо покращення безпеки держави, населення </w:t>
      </w:r>
      <w:proofErr w:type="spellStart"/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територіальної громади та реалізує одне з головних завдань – забезпечення покращення боєздатності військових частин Збройних Сил України у мирний час та особливий період.</w:t>
      </w:r>
      <w:r w:rsidRPr="00626AE3">
        <w:rPr>
          <w:color w:val="000000" w:themeColor="text1"/>
          <w:sz w:val="28"/>
          <w:szCs w:val="28"/>
          <w:lang w:val="uk-UA"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Результативним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показником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ефективності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виконання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заходів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Програми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– є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проведення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видатків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необхідних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для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військових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частин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Збройних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Сил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, для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підвищення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обороноздатності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>України</w:t>
      </w:r>
      <w:proofErr w:type="spellEnd"/>
      <w:r w:rsidRPr="00626AE3"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2058B3" w:rsidRPr="00626AE3" w:rsidRDefault="002058B3" w:rsidP="002058B3">
      <w:pPr>
        <w:ind w:firstLine="567"/>
        <w:jc w:val="center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keepNext/>
        <w:ind w:firstLine="720"/>
        <w:jc w:val="both"/>
        <w:rPr>
          <w:color w:val="000000" w:themeColor="text1"/>
          <w:sz w:val="28"/>
          <w:szCs w:val="28"/>
          <w:lang w:eastAsia="uk-UA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ind w:right="-1" w:firstLine="709"/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bCs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VII</w:t>
      </w:r>
      <w:r w:rsidRPr="00626AE3"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Координація та контроль виконання</w:t>
      </w:r>
    </w:p>
    <w:p w:rsidR="002058B3" w:rsidRPr="00626AE3" w:rsidRDefault="002058B3" w:rsidP="002058B3">
      <w:pPr>
        <w:ind w:right="-1" w:firstLine="709"/>
        <w:jc w:val="center"/>
        <w:rPr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2058B3" w:rsidRPr="00626AE3" w:rsidRDefault="002058B3" w:rsidP="002058B3">
      <w:pPr>
        <w:ind w:right="-1"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Відповідальні виконавці зобов’язані забезпечити цільове, своєчасне та ефективне використання коштів субвенції;</w:t>
      </w:r>
    </w:p>
    <w:p w:rsidR="002058B3" w:rsidRPr="00626AE3" w:rsidRDefault="002058B3" w:rsidP="002058B3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Координація діяльності та систематичний контроль за виконанням передбачених Програмою заходів у межах компетенції покладається на Виконавчий комітет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ради, Фінансовий відділ </w:t>
      </w:r>
      <w:proofErr w:type="spellStart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Степанківської</w:t>
      </w:r>
      <w:proofErr w:type="spellEnd"/>
      <w:r w:rsidRPr="00626AE3"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сільської ради та постійно діючу депутатську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2058B3" w:rsidRPr="007A05AE" w:rsidRDefault="002058B3" w:rsidP="002058B3">
      <w:pPr>
        <w:ind w:right="-1"/>
        <w:jc w:val="both"/>
        <w:rPr>
          <w:b/>
          <w:sz w:val="28"/>
          <w:szCs w:val="28"/>
        </w:rPr>
      </w:pPr>
    </w:p>
    <w:p w:rsidR="002058B3" w:rsidRPr="007A05AE" w:rsidRDefault="002058B3" w:rsidP="002058B3">
      <w:pPr>
        <w:ind w:right="-1"/>
        <w:jc w:val="both"/>
        <w:rPr>
          <w:b/>
          <w:sz w:val="28"/>
          <w:szCs w:val="28"/>
        </w:rPr>
      </w:pPr>
    </w:p>
    <w:p w:rsidR="002058B3" w:rsidRPr="007A05AE" w:rsidRDefault="002058B3" w:rsidP="002058B3">
      <w:pPr>
        <w:ind w:right="-1"/>
        <w:jc w:val="both"/>
        <w:rPr>
          <w:sz w:val="28"/>
          <w:szCs w:val="28"/>
        </w:rPr>
      </w:pPr>
      <w:r w:rsidRPr="007A05AE">
        <w:rPr>
          <w:sz w:val="28"/>
          <w:szCs w:val="28"/>
        </w:rPr>
        <w:t>Секретар сільської ради                                                             Інна НЕВГОД</w:t>
      </w:r>
    </w:p>
    <w:p w:rsidR="002058B3" w:rsidRPr="007A05AE" w:rsidRDefault="002058B3" w:rsidP="002058B3">
      <w:pPr>
        <w:jc w:val="center"/>
        <w:rPr>
          <w:rFonts w:ascii="Calibri" w:hAnsi="Calibri"/>
          <w:sz w:val="28"/>
          <w:szCs w:val="28"/>
          <w:lang w:eastAsia="zh-CN"/>
        </w:rPr>
      </w:pPr>
    </w:p>
    <w:p w:rsidR="002058B3" w:rsidRDefault="002058B3"/>
    <w:sectPr w:rsidR="002058B3" w:rsidSect="00626AE3">
      <w:pgSz w:w="11906" w:h="16838"/>
      <w:pgMar w:top="1020" w:right="1440" w:bottom="65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86D1D"/>
    <w:multiLevelType w:val="multilevel"/>
    <w:tmpl w:val="7F86D6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209180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3"/>
    <w:rsid w:val="002058B3"/>
    <w:rsid w:val="003777AD"/>
    <w:rsid w:val="00626AE3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58218"/>
  <w15:chartTrackingRefBased/>
  <w15:docId w15:val="{2BE8278C-A36C-F64F-9ED1-3223033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8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8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8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8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8B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2058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8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8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8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8B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058B3"/>
    <w:pPr>
      <w:suppressAutoHyphens/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ad">
    <w:name w:val="Plain Text"/>
    <w:basedOn w:val="a"/>
    <w:link w:val="11"/>
    <w:semiHidden/>
    <w:unhideWhenUsed/>
    <w:rsid w:val="002058B3"/>
    <w:pPr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ae">
    <w:name w:val="Текст Знак"/>
    <w:basedOn w:val="a0"/>
    <w:uiPriority w:val="99"/>
    <w:semiHidden/>
    <w:rsid w:val="002058B3"/>
    <w:rPr>
      <w:rFonts w:ascii="Consolas" w:eastAsia="Times New Roman" w:hAnsi="Consolas" w:cs="Consolas"/>
      <w:kern w:val="0"/>
      <w:sz w:val="21"/>
      <w:szCs w:val="21"/>
      <w:lang w:val="uk-UA" w:eastAsia="ar-SA"/>
      <w14:ligatures w14:val="none"/>
    </w:rPr>
  </w:style>
  <w:style w:type="character" w:customStyle="1" w:styleId="11">
    <w:name w:val="Текст Знак1"/>
    <w:link w:val="ad"/>
    <w:semiHidden/>
    <w:locked/>
    <w:rsid w:val="002058B3"/>
    <w:rPr>
      <w:rFonts w:ascii="Courier New" w:eastAsia="Times New Roman" w:hAnsi="Courier New" w:cs="Courier New"/>
      <w:kern w:val="0"/>
      <w:sz w:val="20"/>
      <w:szCs w:val="20"/>
      <w:lang w:val="uk-UA" w:eastAsia="ru-RU"/>
      <w14:ligatures w14:val="none"/>
    </w:rPr>
  </w:style>
  <w:style w:type="table" w:styleId="af">
    <w:name w:val="Table Grid"/>
    <w:basedOn w:val="a1"/>
    <w:uiPriority w:val="39"/>
    <w:rsid w:val="002058B3"/>
    <w:pPr>
      <w:spacing w:after="0" w:line="240" w:lineRule="auto"/>
    </w:pPr>
    <w:rPr>
      <w:kern w:val="0"/>
      <w:sz w:val="22"/>
      <w:szCs w:val="22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nhideWhenUsed/>
    <w:rsid w:val="002058B3"/>
    <w:pPr>
      <w:suppressAutoHyphens w:val="0"/>
      <w:jc w:val="both"/>
    </w:pPr>
    <w:rPr>
      <w:sz w:val="32"/>
      <w:lang w:val="ru-RU" w:eastAsia="ru-RU"/>
    </w:rPr>
  </w:style>
  <w:style w:type="character" w:customStyle="1" w:styleId="af1">
    <w:name w:val="Основной текст Знак"/>
    <w:basedOn w:val="a0"/>
    <w:link w:val="af0"/>
    <w:rsid w:val="002058B3"/>
    <w:rPr>
      <w:rFonts w:ascii="Times New Roman" w:eastAsia="Times New Roman" w:hAnsi="Times New Roman" w:cs="Times New Roman"/>
      <w:kern w:val="0"/>
      <w:sz w:val="32"/>
      <w:szCs w:val="20"/>
      <w:lang w:val="ru-RU" w:eastAsia="ru-RU"/>
      <w14:ligatures w14:val="none"/>
    </w:rPr>
  </w:style>
  <w:style w:type="paragraph" w:styleId="23">
    <w:name w:val="Body Text 2"/>
    <w:basedOn w:val="a"/>
    <w:link w:val="24"/>
    <w:uiPriority w:val="99"/>
    <w:semiHidden/>
    <w:unhideWhenUsed/>
    <w:rsid w:val="002058B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058B3"/>
    <w:rPr>
      <w:rFonts w:ascii="Times New Roman" w:eastAsia="Times New Roman" w:hAnsi="Times New Roman" w:cs="Times New Roman"/>
      <w:kern w:val="0"/>
      <w:szCs w:val="20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1701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2025-02-25T13:09:00Z</dcterms:created>
  <dcterms:modified xsi:type="dcterms:W3CDTF">2025-03-03T13:34:00Z</dcterms:modified>
</cp:coreProperties>
</file>